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2D1CB385" w:rsidR="00E90E49" w:rsidRPr="00AF4829" w:rsidRDefault="00E90E49" w:rsidP="00E35559">
      <w:pPr>
        <w:pStyle w:val="3GPPHeader"/>
        <w:spacing w:after="60"/>
        <w:rPr>
          <w:sz w:val="32"/>
          <w:szCs w:val="32"/>
        </w:rPr>
      </w:pPr>
      <w:r w:rsidRPr="00AF4829">
        <w:t>3GPP TSG-RAN</w:t>
      </w:r>
      <w:r w:rsidR="009A1BE7" w:rsidRPr="00AF4829">
        <w:t>#10</w:t>
      </w:r>
      <w:r w:rsidR="0018468D" w:rsidRPr="002C6134">
        <w:t>2</w:t>
      </w:r>
      <w:r w:rsidRPr="00AF4829">
        <w:tab/>
      </w:r>
      <w:r w:rsidR="005059D2" w:rsidRPr="00AF4829">
        <w:rPr>
          <w:sz w:val="32"/>
          <w:szCs w:val="32"/>
        </w:rPr>
        <w:t>R</w:t>
      </w:r>
      <w:r w:rsidR="00933C11" w:rsidRPr="00AF4829">
        <w:rPr>
          <w:sz w:val="32"/>
          <w:szCs w:val="32"/>
        </w:rPr>
        <w:t>P</w:t>
      </w:r>
      <w:r w:rsidR="005059D2" w:rsidRPr="00AF4829">
        <w:rPr>
          <w:sz w:val="32"/>
          <w:szCs w:val="32"/>
        </w:rPr>
        <w:t>-</w:t>
      </w:r>
      <w:r w:rsidR="00A47F4F" w:rsidRPr="00AF4829">
        <w:rPr>
          <w:sz w:val="32"/>
          <w:szCs w:val="32"/>
        </w:rPr>
        <w:t>232</w:t>
      </w:r>
      <w:r w:rsidR="0018468D" w:rsidRPr="00120645">
        <w:rPr>
          <w:sz w:val="32"/>
          <w:szCs w:val="32"/>
        </w:rPr>
        <w:t>781</w:t>
      </w:r>
    </w:p>
    <w:p w14:paraId="0CE7B7E6" w14:textId="3C303108" w:rsidR="00E90E49" w:rsidRPr="00AF4829" w:rsidRDefault="009B3632" w:rsidP="00311702">
      <w:pPr>
        <w:pStyle w:val="3GPPHeader"/>
      </w:pPr>
      <w:r w:rsidRPr="002C6134">
        <w:t>Edinburgh</w:t>
      </w:r>
      <w:r w:rsidR="0027144F" w:rsidRPr="00AF4829">
        <w:t>,</w:t>
      </w:r>
      <w:r w:rsidR="008F09FB" w:rsidRPr="00AF4829">
        <w:t xml:space="preserve"> </w:t>
      </w:r>
      <w:r w:rsidR="00AF4829">
        <w:t>Dec</w:t>
      </w:r>
      <w:r w:rsidR="00AF4829" w:rsidRPr="00AF4829">
        <w:t xml:space="preserve"> </w:t>
      </w:r>
      <w:r w:rsidR="00BC4169" w:rsidRPr="00AF4829">
        <w:t>1</w:t>
      </w:r>
      <w:r w:rsidR="008F09FB" w:rsidRPr="00AF4829">
        <w:t>1</w:t>
      </w:r>
      <w:r w:rsidR="001D53E7" w:rsidRPr="00AF4829">
        <w:t xml:space="preserve"> – </w:t>
      </w:r>
      <w:r w:rsidR="00BC4169" w:rsidRPr="00AF4829">
        <w:t>1</w:t>
      </w:r>
      <w:r w:rsidR="008F09FB" w:rsidRPr="00AF4829">
        <w:t>5</w:t>
      </w:r>
      <w:r w:rsidR="004F12C2" w:rsidRPr="00AF4829">
        <w:t>,</w:t>
      </w:r>
      <w:r w:rsidR="00C37CB2" w:rsidRPr="00AF4829">
        <w:t xml:space="preserve"> </w:t>
      </w:r>
      <w:r w:rsidR="0027144F" w:rsidRPr="00AF4829">
        <w:t>20</w:t>
      </w:r>
      <w:r w:rsidR="00304FC4" w:rsidRPr="00AF4829">
        <w:t>23</w:t>
      </w:r>
    </w:p>
    <w:p w14:paraId="3086AC07" w14:textId="77777777" w:rsidR="00E90E49" w:rsidRPr="00AF4829" w:rsidRDefault="00E90E49" w:rsidP="00357380">
      <w:pPr>
        <w:pStyle w:val="3GPPHeader"/>
      </w:pPr>
    </w:p>
    <w:p w14:paraId="3982483C" w14:textId="1130A9ED" w:rsidR="00E90E49" w:rsidRPr="00676D97" w:rsidRDefault="00E90E49" w:rsidP="00311702">
      <w:pPr>
        <w:pStyle w:val="3GPPHeader"/>
        <w:rPr>
          <w:sz w:val="22"/>
        </w:rPr>
      </w:pPr>
      <w:r w:rsidRPr="00676D97">
        <w:rPr>
          <w:sz w:val="22"/>
        </w:rPr>
        <w:t>Agenda Item:</w:t>
      </w:r>
      <w:r w:rsidRPr="00676D97">
        <w:rPr>
          <w:sz w:val="22"/>
        </w:rPr>
        <w:tab/>
      </w:r>
      <w:r w:rsidR="005D62A0" w:rsidRPr="002C6134">
        <w:rPr>
          <w:sz w:val="22"/>
        </w:rPr>
        <w:t>9.1.2.3</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040DA110" w:rsidR="00E90E49" w:rsidRPr="00CE0424" w:rsidRDefault="003D3C45" w:rsidP="00311702">
      <w:pPr>
        <w:pStyle w:val="3GPPHeader"/>
        <w:rPr>
          <w:sz w:val="22"/>
        </w:rPr>
      </w:pPr>
      <w:r>
        <w:rPr>
          <w:sz w:val="22"/>
        </w:rPr>
        <w:t>Title:</w:t>
      </w:r>
      <w:r w:rsidR="00E90E49" w:rsidRPr="00CE0424">
        <w:rPr>
          <w:sz w:val="22"/>
        </w:rPr>
        <w:tab/>
      </w:r>
      <w:r w:rsidR="006F797C">
        <w:rPr>
          <w:sz w:val="22"/>
        </w:rPr>
        <w:t xml:space="preserve">Rel-19 </w:t>
      </w:r>
      <w:r w:rsidR="005D62A0">
        <w:rPr>
          <w:sz w:val="22"/>
        </w:rPr>
        <w:t xml:space="preserve">NR </w:t>
      </w:r>
      <w:r w:rsidR="006F797C">
        <w:rPr>
          <w:sz w:val="22"/>
        </w:rPr>
        <w:t>NTN enhancements</w:t>
      </w:r>
    </w:p>
    <w:p w14:paraId="025260C1" w14:textId="77777777" w:rsidR="00E90E49" w:rsidRPr="00CE0424" w:rsidRDefault="00E90E49" w:rsidP="00D546FF">
      <w:pPr>
        <w:pStyle w:val="3GPPHeader"/>
        <w:rPr>
          <w:sz w:val="22"/>
        </w:rPr>
      </w:pPr>
      <w:r w:rsidRPr="00CE0424">
        <w:rPr>
          <w:sz w:val="22"/>
        </w:rPr>
        <w:t>Document for:</w:t>
      </w:r>
      <w:r w:rsidRPr="00CE0424">
        <w:rPr>
          <w:sz w:val="22"/>
        </w:rPr>
        <w:tab/>
      </w:r>
      <w:r w:rsidRPr="00371B86">
        <w:rPr>
          <w:sz w:val="22"/>
        </w:rPr>
        <w:t>Discussion, Decision</w:t>
      </w:r>
    </w:p>
    <w:p w14:paraId="6883CB62" w14:textId="77777777" w:rsidR="00E90E49" w:rsidRPr="00CE0424" w:rsidRDefault="00230D18" w:rsidP="00CE0424">
      <w:pPr>
        <w:pStyle w:val="Heading1"/>
      </w:pPr>
      <w:r>
        <w:t>1</w:t>
      </w:r>
      <w:r>
        <w:tab/>
      </w:r>
      <w:r w:rsidR="00E90E49" w:rsidRPr="00CE0424">
        <w:t>Introduction</w:t>
      </w:r>
    </w:p>
    <w:p w14:paraId="231E64EA" w14:textId="18886F16" w:rsidR="00477768" w:rsidRDefault="005771BA" w:rsidP="00CE0424">
      <w:pPr>
        <w:pStyle w:val="BodyText"/>
      </w:pPr>
      <w:r>
        <w:t xml:space="preserve">In this contribution, we discuss and share our views on further enhancements </w:t>
      </w:r>
      <w:r w:rsidR="005D62A0">
        <w:t xml:space="preserve">to NR NTN </w:t>
      </w:r>
      <w:r>
        <w:t>in Release 19</w:t>
      </w:r>
      <w:r w:rsidR="007B3059">
        <w:t xml:space="preserve"> and propose </w:t>
      </w:r>
      <w:r w:rsidR="00B94BD2">
        <w:t xml:space="preserve">scope </w:t>
      </w:r>
      <w:r w:rsidR="00A56D8E">
        <w:t xml:space="preserve">and objectives </w:t>
      </w:r>
      <w:r w:rsidR="00B94BD2">
        <w:t>for a Rel-19</w:t>
      </w:r>
      <w:r w:rsidR="00A56D8E">
        <w:t xml:space="preserve"> NR NTN WI</w:t>
      </w:r>
      <w:r>
        <w:t>.</w:t>
      </w:r>
    </w:p>
    <w:p w14:paraId="23264492" w14:textId="77777777" w:rsidR="00D01203" w:rsidRPr="00CE0424" w:rsidRDefault="00B94396" w:rsidP="00114A2C">
      <w:pPr>
        <w:pStyle w:val="BodyText"/>
      </w:pPr>
      <w:r>
        <w:t>Discussions on Rel-19 NTN have been ongoing for the past few weeks, with a somewhat broad and open-ended scope. We believe that a good part of upcoming RAN discussions will need to be devoted to clarifying, focusing and proper scoping of NTN proposals. Th</w:t>
      </w:r>
      <w:r w:rsidR="00DF011A">
        <w:t>is is our contribution to such discussions.</w:t>
      </w:r>
    </w:p>
    <w:p w14:paraId="1F8509FC" w14:textId="7B1CC5F3" w:rsidR="00C51142" w:rsidRDefault="00C51142" w:rsidP="00C51142">
      <w:pPr>
        <w:pStyle w:val="Heading1"/>
      </w:pPr>
      <w:r>
        <w:t>2</w:t>
      </w:r>
      <w:r w:rsidR="000C1A7B">
        <w:tab/>
      </w:r>
      <w:r>
        <w:t>Proposed WI scope</w:t>
      </w:r>
    </w:p>
    <w:p w14:paraId="5A70C7D0" w14:textId="56A88759" w:rsidR="00B616B0" w:rsidRDefault="00B616B0" w:rsidP="00114A2C">
      <w:pPr>
        <w:pStyle w:val="BodyText"/>
      </w:pPr>
      <w:r>
        <w:t xml:space="preserve">In our view, a Rel-19 NR NTN WI should </w:t>
      </w:r>
      <w:r w:rsidR="00CE280A">
        <w:t>concentrate on</w:t>
      </w:r>
      <w:r>
        <w:t xml:space="preserve"> the following objectives</w:t>
      </w:r>
      <w:r w:rsidR="00F922A5">
        <w:t>.</w:t>
      </w:r>
    </w:p>
    <w:p w14:paraId="56B1EDE8" w14:textId="5540711B" w:rsidR="00D56753" w:rsidRDefault="000C1A7B" w:rsidP="00346E0B">
      <w:pPr>
        <w:pStyle w:val="Heading2"/>
        <w:jc w:val="both"/>
      </w:pPr>
      <w:r>
        <w:t>2</w:t>
      </w:r>
      <w:r w:rsidR="00FA4A30">
        <w:t xml:space="preserve">.1 </w:t>
      </w:r>
      <w:r>
        <w:tab/>
      </w:r>
      <w:r w:rsidR="009A10D9">
        <w:t>D</w:t>
      </w:r>
      <w:r w:rsidR="005B7BC1">
        <w:t xml:space="preserve">L </w:t>
      </w:r>
      <w:r w:rsidR="002E30C6">
        <w:t>Coverage Enhancements</w:t>
      </w:r>
    </w:p>
    <w:p w14:paraId="4DE88D22" w14:textId="1E3FE50A" w:rsidR="00E76E7C" w:rsidRDefault="00735BF2" w:rsidP="00114A2C">
      <w:pPr>
        <w:pStyle w:val="BodyText"/>
        <w:rPr>
          <w:lang w:eastAsia="ja-JP"/>
        </w:rPr>
      </w:pPr>
      <w:r>
        <w:rPr>
          <w:lang w:val="en-GB" w:eastAsia="ja-JP"/>
        </w:rPr>
        <w:t xml:space="preserve">The Rel-18 </w:t>
      </w:r>
      <w:r w:rsidR="0027213B">
        <w:rPr>
          <w:lang w:val="en-GB" w:eastAsia="ja-JP"/>
        </w:rPr>
        <w:t xml:space="preserve">work </w:t>
      </w:r>
      <w:r>
        <w:rPr>
          <w:lang w:val="en-GB" w:eastAsia="ja-JP"/>
        </w:rPr>
        <w:t>on c</w:t>
      </w:r>
      <w:r w:rsidR="00D568F0">
        <w:rPr>
          <w:lang w:val="en-GB" w:eastAsia="ja-JP"/>
        </w:rPr>
        <w:t>overage enhancements has been focused on UL enhancements</w:t>
      </w:r>
      <w:r w:rsidR="00880E6C">
        <w:rPr>
          <w:lang w:val="en-GB" w:eastAsia="ja-JP"/>
        </w:rPr>
        <w:t xml:space="preserve">, </w:t>
      </w:r>
      <w:r w:rsidR="006B1C97">
        <w:rPr>
          <w:lang w:val="en-GB" w:eastAsia="ja-JP"/>
        </w:rPr>
        <w:t xml:space="preserve">but it was found that </w:t>
      </w:r>
      <w:r w:rsidR="00D568F0">
        <w:rPr>
          <w:lang w:val="en-GB" w:eastAsia="ja-JP"/>
        </w:rPr>
        <w:t xml:space="preserve">even </w:t>
      </w:r>
      <w:r w:rsidR="00D568F0" w:rsidRPr="00294931">
        <w:rPr>
          <w:lang w:eastAsia="ja-JP"/>
        </w:rPr>
        <w:t>DL coverage could be a bottleneck in some situations</w:t>
      </w:r>
      <w:r w:rsidR="002B3FE7">
        <w:rPr>
          <w:lang w:eastAsia="ja-JP"/>
        </w:rPr>
        <w:t xml:space="preserve">. Therefore, it seems justified to work on DL coverage enhancements in Rel-19. Often, the method of choice to improve coverage is to introduce repetitions. </w:t>
      </w:r>
      <w:r w:rsidR="00D17C3C">
        <w:rPr>
          <w:lang w:eastAsia="ja-JP"/>
        </w:rPr>
        <w:t>However</w:t>
      </w:r>
      <w:r w:rsidR="001E27DF">
        <w:rPr>
          <w:lang w:eastAsia="ja-JP"/>
        </w:rPr>
        <w:t xml:space="preserve">, the use of repetitions in a power/PFD limited scenario results either in an increased DL activity factor – and consequently a reduced output power per transmission – or reduced system capacity. Therefore, we </w:t>
      </w:r>
      <w:r w:rsidR="00A37BA5">
        <w:rPr>
          <w:lang w:eastAsia="ja-JP"/>
        </w:rPr>
        <w:t xml:space="preserve">suggest </w:t>
      </w:r>
      <w:r w:rsidR="006D7593">
        <w:rPr>
          <w:lang w:eastAsia="ja-JP"/>
        </w:rPr>
        <w:t>prioritizing</w:t>
      </w:r>
      <w:r w:rsidR="001E27DF">
        <w:rPr>
          <w:lang w:eastAsia="ja-JP"/>
        </w:rPr>
        <w:t xml:space="preserve"> e</w:t>
      </w:r>
      <w:r w:rsidR="001E27DF" w:rsidRPr="002954AC">
        <w:rPr>
          <w:lang w:eastAsia="ja-JP"/>
        </w:rPr>
        <w:t xml:space="preserve">nhancements of spectral efficiency </w:t>
      </w:r>
      <w:r w:rsidR="001E27DF">
        <w:rPr>
          <w:lang w:eastAsia="ja-JP"/>
        </w:rPr>
        <w:t>and avoid</w:t>
      </w:r>
      <w:r w:rsidR="00E05D56">
        <w:rPr>
          <w:lang w:eastAsia="ja-JP"/>
        </w:rPr>
        <w:t>ing</w:t>
      </w:r>
      <w:r w:rsidR="001E27DF">
        <w:rPr>
          <w:lang w:eastAsia="ja-JP"/>
        </w:rPr>
        <w:t xml:space="preserve"> e</w:t>
      </w:r>
      <w:r w:rsidR="001E27DF" w:rsidRPr="002954AC">
        <w:rPr>
          <w:lang w:eastAsia="ja-JP"/>
        </w:rPr>
        <w:t>nhancements that significantly increase the DL activity factor on system level (e.g.</w:t>
      </w:r>
      <w:r w:rsidR="001E27DF">
        <w:rPr>
          <w:lang w:eastAsia="ja-JP"/>
        </w:rPr>
        <w:t>,</w:t>
      </w:r>
      <w:r w:rsidR="001E27DF" w:rsidRPr="002954AC">
        <w:rPr>
          <w:lang w:eastAsia="ja-JP"/>
        </w:rPr>
        <w:t xml:space="preserve"> repetitions)</w:t>
      </w:r>
      <w:r w:rsidR="001E27DF">
        <w:rPr>
          <w:lang w:eastAsia="ja-JP"/>
        </w:rPr>
        <w:t>.</w:t>
      </w:r>
    </w:p>
    <w:p w14:paraId="386E16EA" w14:textId="6976C25A" w:rsidR="00C333C8" w:rsidRDefault="00C333C8" w:rsidP="00346E0B">
      <w:pPr>
        <w:pStyle w:val="Heading3"/>
      </w:pPr>
      <w:r>
        <w:t>Objectives</w:t>
      </w:r>
    </w:p>
    <w:p w14:paraId="5A8D487B" w14:textId="78685510" w:rsidR="00AD5D7A" w:rsidRPr="003331D2" w:rsidRDefault="00AD5D7A" w:rsidP="00114A2C">
      <w:pPr>
        <w:tabs>
          <w:tab w:val="num" w:pos="720"/>
        </w:tabs>
        <w:jc w:val="both"/>
        <w:rPr>
          <w:rFonts w:cs="Arial"/>
          <w:szCs w:val="20"/>
        </w:rPr>
      </w:pPr>
      <w:r w:rsidRPr="003331D2">
        <w:rPr>
          <w:rFonts w:cs="Arial"/>
          <w:szCs w:val="20"/>
        </w:rPr>
        <w:t>The following two</w:t>
      </w:r>
      <w:r w:rsidR="0086632D">
        <w:rPr>
          <w:rFonts w:cs="Arial"/>
          <w:szCs w:val="20"/>
        </w:rPr>
        <w:t>-</w:t>
      </w:r>
      <w:r w:rsidRPr="003331D2">
        <w:rPr>
          <w:rFonts w:cs="Arial"/>
          <w:szCs w:val="20"/>
        </w:rPr>
        <w:t>step approach should be considered</w:t>
      </w:r>
      <w:r w:rsidR="00E95FFC">
        <w:rPr>
          <w:rFonts w:cs="Arial"/>
          <w:szCs w:val="20"/>
        </w:rPr>
        <w:t>:</w:t>
      </w:r>
    </w:p>
    <w:p w14:paraId="7922801B" w14:textId="77777777" w:rsidR="00AD5D7A" w:rsidRPr="00346E0B" w:rsidRDefault="00AD5D7A" w:rsidP="00114A2C">
      <w:pPr>
        <w:pStyle w:val="ListParagraph"/>
        <w:numPr>
          <w:ilvl w:val="0"/>
          <w:numId w:val="51"/>
        </w:numPr>
        <w:spacing w:after="160"/>
        <w:contextualSpacing/>
        <w:jc w:val="both"/>
        <w:rPr>
          <w:rFonts w:ascii="Arial" w:hAnsi="Arial" w:cs="Arial"/>
          <w:sz w:val="20"/>
          <w:szCs w:val="20"/>
        </w:rPr>
      </w:pPr>
      <w:r w:rsidRPr="00346E0B">
        <w:rPr>
          <w:rFonts w:ascii="Arial" w:hAnsi="Arial" w:cs="Arial"/>
          <w:sz w:val="20"/>
          <w:szCs w:val="20"/>
        </w:rPr>
        <w:t xml:space="preserve">Study phase: </w:t>
      </w:r>
    </w:p>
    <w:p w14:paraId="79F5B745" w14:textId="2B370320" w:rsidR="00FD5F4A" w:rsidRPr="00346E0B" w:rsidRDefault="005227E1" w:rsidP="00114A2C">
      <w:pPr>
        <w:pStyle w:val="ListParagraph"/>
        <w:numPr>
          <w:ilvl w:val="1"/>
          <w:numId w:val="51"/>
        </w:numPr>
        <w:spacing w:after="160"/>
        <w:contextualSpacing/>
        <w:jc w:val="both"/>
        <w:rPr>
          <w:rFonts w:ascii="Arial" w:hAnsi="Arial" w:cs="Arial"/>
          <w:sz w:val="20"/>
          <w:szCs w:val="20"/>
        </w:rPr>
      </w:pPr>
      <w:r w:rsidRPr="003F0EFA">
        <w:rPr>
          <w:rFonts w:ascii="Arial" w:hAnsi="Arial" w:cs="Arial"/>
          <w:sz w:val="20"/>
          <w:szCs w:val="20"/>
          <w:lang w:val="en-US"/>
        </w:rPr>
        <w:t>Identify/prioriti</w:t>
      </w:r>
      <w:r>
        <w:rPr>
          <w:rFonts w:ascii="Arial" w:hAnsi="Arial" w:cs="Arial"/>
          <w:sz w:val="20"/>
          <w:szCs w:val="20"/>
          <w:lang w:val="en-US"/>
        </w:rPr>
        <w:t>z</w:t>
      </w:r>
      <w:r w:rsidRPr="003F0EFA">
        <w:rPr>
          <w:rFonts w:ascii="Arial" w:hAnsi="Arial" w:cs="Arial"/>
          <w:sz w:val="20"/>
          <w:szCs w:val="20"/>
          <w:lang w:val="en-US"/>
        </w:rPr>
        <w:t>e which physical channels need to be enhanced</w:t>
      </w:r>
      <w:r w:rsidR="00F0674C">
        <w:rPr>
          <w:rFonts w:ascii="Arial" w:hAnsi="Arial" w:cs="Arial"/>
          <w:sz w:val="20"/>
          <w:szCs w:val="20"/>
          <w:lang w:val="en-US"/>
        </w:rPr>
        <w:t>.</w:t>
      </w:r>
    </w:p>
    <w:p w14:paraId="3B997B74" w14:textId="232169A1" w:rsidR="00AD5D7A" w:rsidRPr="00346E0B" w:rsidRDefault="00FD5F4A" w:rsidP="00114A2C">
      <w:pPr>
        <w:pStyle w:val="ListParagraph"/>
        <w:numPr>
          <w:ilvl w:val="1"/>
          <w:numId w:val="51"/>
        </w:numPr>
        <w:spacing w:after="160"/>
        <w:contextualSpacing/>
        <w:jc w:val="both"/>
        <w:rPr>
          <w:rFonts w:ascii="Arial" w:hAnsi="Arial" w:cs="Arial"/>
          <w:sz w:val="20"/>
          <w:szCs w:val="20"/>
        </w:rPr>
      </w:pPr>
      <w:r w:rsidRPr="003F0EFA">
        <w:rPr>
          <w:rFonts w:ascii="Arial" w:hAnsi="Arial" w:cs="Arial"/>
          <w:sz w:val="20"/>
          <w:szCs w:val="20"/>
          <w:lang w:val="en-US"/>
        </w:rPr>
        <w:t>Identify potential solutions</w:t>
      </w:r>
      <w:r w:rsidR="00E05D56">
        <w:rPr>
          <w:rFonts w:ascii="Arial" w:hAnsi="Arial" w:cs="Arial"/>
          <w:sz w:val="20"/>
          <w:szCs w:val="20"/>
          <w:lang w:val="en-US"/>
        </w:rPr>
        <w:t xml:space="preserve">, </w:t>
      </w:r>
      <w:r w:rsidR="0050563F" w:rsidRPr="0050563F">
        <w:rPr>
          <w:rFonts w:ascii="Arial" w:hAnsi="Arial" w:cs="Arial"/>
          <w:sz w:val="20"/>
          <w:szCs w:val="20"/>
          <w:lang w:val="en-US"/>
        </w:rPr>
        <w:t>prioritizing enhancements of spectral efficiency</w:t>
      </w:r>
      <w:r w:rsidR="0050563F">
        <w:rPr>
          <w:rFonts w:ascii="Arial" w:hAnsi="Arial" w:cs="Arial"/>
          <w:sz w:val="20"/>
          <w:szCs w:val="20"/>
          <w:lang w:val="en-US"/>
        </w:rPr>
        <w:t xml:space="preserve"> over </w:t>
      </w:r>
      <w:r w:rsidR="0050563F" w:rsidRPr="0050563F">
        <w:rPr>
          <w:rFonts w:ascii="Arial" w:hAnsi="Arial" w:cs="Arial"/>
          <w:sz w:val="20"/>
          <w:szCs w:val="20"/>
          <w:lang w:val="en-US"/>
        </w:rPr>
        <w:t>enhancements that increase the DL activity factor on system level</w:t>
      </w:r>
      <w:r w:rsidR="0050563F">
        <w:rPr>
          <w:rFonts w:ascii="Arial" w:hAnsi="Arial" w:cs="Arial"/>
          <w:sz w:val="20"/>
          <w:szCs w:val="20"/>
          <w:lang w:val="en-US"/>
        </w:rPr>
        <w:t>.</w:t>
      </w:r>
    </w:p>
    <w:p w14:paraId="45DECEF4" w14:textId="77777777" w:rsidR="00AD5D7A" w:rsidRPr="00CF622B" w:rsidRDefault="00AD5D7A" w:rsidP="00114A2C">
      <w:pPr>
        <w:pStyle w:val="ListParagraph"/>
        <w:numPr>
          <w:ilvl w:val="0"/>
          <w:numId w:val="51"/>
        </w:numPr>
        <w:spacing w:after="160"/>
        <w:contextualSpacing/>
        <w:jc w:val="both"/>
        <w:rPr>
          <w:rFonts w:ascii="Arial" w:hAnsi="Arial" w:cs="Arial"/>
          <w:sz w:val="20"/>
          <w:szCs w:val="20"/>
        </w:rPr>
      </w:pPr>
      <w:r w:rsidRPr="00CF622B">
        <w:rPr>
          <w:rFonts w:ascii="Arial" w:hAnsi="Arial" w:cs="Arial"/>
          <w:sz w:val="20"/>
          <w:szCs w:val="20"/>
        </w:rPr>
        <w:t>Normative phase:</w:t>
      </w:r>
    </w:p>
    <w:p w14:paraId="45B053A9" w14:textId="307CFAED" w:rsidR="00AD5D7A" w:rsidRDefault="00A17587" w:rsidP="00114A2C">
      <w:pPr>
        <w:pStyle w:val="ListParagraph"/>
        <w:numPr>
          <w:ilvl w:val="1"/>
          <w:numId w:val="51"/>
        </w:numPr>
        <w:spacing w:after="160"/>
        <w:contextualSpacing/>
        <w:jc w:val="both"/>
        <w:rPr>
          <w:rFonts w:ascii="Arial" w:hAnsi="Arial" w:cs="Arial"/>
          <w:sz w:val="20"/>
          <w:szCs w:val="20"/>
          <w:lang w:val="en-US"/>
        </w:rPr>
      </w:pPr>
      <w:r>
        <w:rPr>
          <w:rFonts w:ascii="Arial" w:hAnsi="Arial" w:cs="Arial"/>
          <w:sz w:val="20"/>
          <w:szCs w:val="20"/>
          <w:lang w:val="en-US"/>
        </w:rPr>
        <w:t>If found beneficial, d</w:t>
      </w:r>
      <w:r w:rsidR="00AD5D7A" w:rsidRPr="00CF622B">
        <w:rPr>
          <w:rFonts w:ascii="Arial" w:hAnsi="Arial" w:cs="Arial"/>
          <w:sz w:val="20"/>
          <w:szCs w:val="20"/>
          <w:lang w:val="en-US"/>
        </w:rPr>
        <w:t>efine enhancements </w:t>
      </w:r>
      <w:r w:rsidR="00DC1F21">
        <w:rPr>
          <w:rFonts w:ascii="Arial" w:hAnsi="Arial" w:cs="Arial"/>
          <w:sz w:val="20"/>
          <w:szCs w:val="20"/>
          <w:lang w:val="en-US"/>
        </w:rPr>
        <w:t>according to the findings of the study phase.</w:t>
      </w:r>
    </w:p>
    <w:p w14:paraId="78582BD7" w14:textId="4539BA4B" w:rsidR="00D00F4C" w:rsidRDefault="000C1A7B" w:rsidP="00114A2C">
      <w:pPr>
        <w:pStyle w:val="Heading2"/>
        <w:ind w:left="0" w:firstLine="0"/>
        <w:jc w:val="both"/>
      </w:pPr>
      <w:r>
        <w:t>2</w:t>
      </w:r>
      <w:r w:rsidR="00D00F4C">
        <w:t xml:space="preserve">.2 </w:t>
      </w:r>
      <w:r w:rsidR="004A5CA9">
        <w:tab/>
      </w:r>
      <w:r w:rsidR="004A5CA9">
        <w:tab/>
      </w:r>
      <w:r w:rsidR="00D00F4C">
        <w:t>Robust Notification/Alert Channel</w:t>
      </w:r>
    </w:p>
    <w:p w14:paraId="69BB335F" w14:textId="64D594F9" w:rsidR="0018423A" w:rsidRDefault="00764409" w:rsidP="00114A2C">
      <w:pPr>
        <w:jc w:val="both"/>
      </w:pPr>
      <w:r>
        <w:rPr>
          <w:lang w:val="en-GB"/>
        </w:rPr>
        <w:t xml:space="preserve">A robust notification/alert </w:t>
      </w:r>
      <w:r w:rsidDel="00B13D4A">
        <w:rPr>
          <w:lang w:val="en-GB"/>
        </w:rPr>
        <w:t xml:space="preserve">channel </w:t>
      </w:r>
      <w:r>
        <w:rPr>
          <w:lang w:val="en-GB"/>
        </w:rPr>
        <w:t xml:space="preserve">has been proposed to address the </w:t>
      </w:r>
      <w:r w:rsidR="00284193">
        <w:rPr>
          <w:lang w:val="en-GB"/>
        </w:rPr>
        <w:t>case</w:t>
      </w:r>
      <w:r>
        <w:rPr>
          <w:lang w:val="en-GB"/>
        </w:rPr>
        <w:t xml:space="preserve"> of </w:t>
      </w:r>
      <w:r w:rsidR="00E72688">
        <w:rPr>
          <w:lang w:val="en-GB"/>
        </w:rPr>
        <w:t xml:space="preserve">the UE </w:t>
      </w:r>
      <w:r w:rsidR="00284193">
        <w:rPr>
          <w:lang w:val="en-GB"/>
        </w:rPr>
        <w:t>potentially</w:t>
      </w:r>
      <w:r w:rsidR="00E72688">
        <w:rPr>
          <w:lang w:val="en-GB"/>
        </w:rPr>
        <w:t xml:space="preserve"> </w:t>
      </w:r>
      <w:r>
        <w:rPr>
          <w:lang w:val="en-GB"/>
        </w:rPr>
        <w:t>miss</w:t>
      </w:r>
      <w:r w:rsidR="00E72688">
        <w:rPr>
          <w:lang w:val="en-GB"/>
        </w:rPr>
        <w:t>ing</w:t>
      </w:r>
      <w:r>
        <w:rPr>
          <w:lang w:val="en-GB"/>
        </w:rPr>
        <w:t xml:space="preserve"> paging messages </w:t>
      </w:r>
      <w:r w:rsidR="00E72688">
        <w:rPr>
          <w:lang w:val="en-GB"/>
        </w:rPr>
        <w:t xml:space="preserve">when </w:t>
      </w:r>
      <w:r>
        <w:rPr>
          <w:lang w:val="en-GB"/>
        </w:rPr>
        <w:t>in low SNR conditions</w:t>
      </w:r>
      <w:r w:rsidR="005D707C">
        <w:rPr>
          <w:lang w:val="en-GB"/>
        </w:rPr>
        <w:t>.</w:t>
      </w:r>
      <w:r w:rsidR="00E72688">
        <w:rPr>
          <w:lang w:val="en-GB"/>
        </w:rPr>
        <w:t xml:space="preserve"> </w:t>
      </w:r>
      <w:r w:rsidR="005D707C">
        <w:rPr>
          <w:lang w:val="en-GB"/>
        </w:rPr>
        <w:t>For example, a</w:t>
      </w:r>
      <w:r w:rsidR="001F6907">
        <w:rPr>
          <w:lang w:val="en-GB"/>
        </w:rPr>
        <w:t xml:space="preserve">ccording to 38.821 </w:t>
      </w:r>
      <w:r w:rsidR="001F6907">
        <w:rPr>
          <w:lang w:val="en-GB"/>
        </w:rPr>
        <w:fldChar w:fldCharType="begin"/>
      </w:r>
      <w:r w:rsidR="001F6907">
        <w:rPr>
          <w:lang w:val="en-GB"/>
        </w:rPr>
        <w:instrText xml:space="preserve"> REF _Ref144477453 \r \h </w:instrText>
      </w:r>
      <w:r w:rsidR="00114A2C">
        <w:rPr>
          <w:lang w:val="en-GB"/>
        </w:rPr>
        <w:instrText xml:space="preserve"> \* MERGEFORMAT </w:instrText>
      </w:r>
      <w:r w:rsidR="001F6907">
        <w:rPr>
          <w:lang w:val="en-GB"/>
        </w:rPr>
      </w:r>
      <w:r w:rsidR="001F6907">
        <w:rPr>
          <w:lang w:val="en-GB"/>
        </w:rPr>
        <w:fldChar w:fldCharType="separate"/>
      </w:r>
      <w:r w:rsidR="001F6907">
        <w:rPr>
          <w:lang w:val="en-GB"/>
        </w:rPr>
        <w:t>[1]</w:t>
      </w:r>
      <w:r w:rsidR="001F6907">
        <w:rPr>
          <w:lang w:val="en-GB"/>
        </w:rPr>
        <w:fldChar w:fldCharType="end"/>
      </w:r>
      <w:r w:rsidR="001F6907">
        <w:rPr>
          <w:lang w:val="en-GB"/>
        </w:rPr>
        <w:t xml:space="preserve">, clutter loss can exceed 18 dB, and body loss has been estimated to be in the order of 10 dB. To overcome these losses, </w:t>
      </w:r>
      <w:r w:rsidR="00512C6B">
        <w:rPr>
          <w:lang w:val="en-GB"/>
        </w:rPr>
        <w:t>the</w:t>
      </w:r>
      <w:r w:rsidR="00CA0527">
        <w:rPr>
          <w:lang w:val="en-GB"/>
        </w:rPr>
        <w:t xml:space="preserve"> </w:t>
      </w:r>
      <w:r w:rsidR="00707DC2">
        <w:rPr>
          <w:lang w:val="en-GB"/>
        </w:rPr>
        <w:t>paging</w:t>
      </w:r>
      <w:r w:rsidR="001F6907">
        <w:rPr>
          <w:lang w:val="en-GB"/>
        </w:rPr>
        <w:t xml:space="preserve"> channel </w:t>
      </w:r>
      <w:r w:rsidR="00707DC2">
        <w:rPr>
          <w:lang w:val="en-GB"/>
        </w:rPr>
        <w:t xml:space="preserve">may need to </w:t>
      </w:r>
      <w:r w:rsidR="001F6907">
        <w:rPr>
          <w:lang w:val="en-GB"/>
        </w:rPr>
        <w:t>operat</w:t>
      </w:r>
      <w:r w:rsidR="00707DC2">
        <w:rPr>
          <w:lang w:val="en-GB"/>
        </w:rPr>
        <w:t>e</w:t>
      </w:r>
      <w:r w:rsidR="001F6907">
        <w:rPr>
          <w:lang w:val="en-GB"/>
        </w:rPr>
        <w:t xml:space="preserve"> in low SNR. </w:t>
      </w:r>
      <w:r w:rsidR="00707DC2">
        <w:rPr>
          <w:lang w:val="en-GB"/>
        </w:rPr>
        <w:t>However</w:t>
      </w:r>
      <w:r w:rsidR="00B709B6">
        <w:rPr>
          <w:lang w:val="en-GB"/>
        </w:rPr>
        <w:t>,</w:t>
      </w:r>
      <w:r w:rsidR="00F560C1">
        <w:rPr>
          <w:lang w:val="en-GB"/>
        </w:rPr>
        <w:t xml:space="preserve"> one should also consider that</w:t>
      </w:r>
      <w:r w:rsidR="00B8599C">
        <w:rPr>
          <w:lang w:val="en-GB"/>
        </w:rPr>
        <w:t xml:space="preserve"> </w:t>
      </w:r>
      <w:r w:rsidR="001F6907">
        <w:rPr>
          <w:lang w:val="en-GB"/>
        </w:rPr>
        <w:t xml:space="preserve">the UE </w:t>
      </w:r>
      <w:r w:rsidR="00F560C1">
        <w:rPr>
          <w:lang w:val="en-GB"/>
        </w:rPr>
        <w:t>needs to receive</w:t>
      </w:r>
      <w:r w:rsidR="001F6907">
        <w:rPr>
          <w:lang w:val="en-GB"/>
        </w:rPr>
        <w:t xml:space="preserve"> SSB for </w:t>
      </w:r>
      <w:r w:rsidR="001F6907">
        <w:rPr>
          <w:lang w:val="en-GB"/>
        </w:rPr>
        <w:lastRenderedPageBreak/>
        <w:t>synchronization</w:t>
      </w:r>
      <w:r w:rsidR="002E5B5E">
        <w:rPr>
          <w:lang w:val="en-GB"/>
        </w:rPr>
        <w:t xml:space="preserve"> and acquire </w:t>
      </w:r>
      <w:r w:rsidR="0037150E">
        <w:rPr>
          <w:lang w:val="en-GB"/>
        </w:rPr>
        <w:t>system information</w:t>
      </w:r>
      <w:r w:rsidR="002E5B5E">
        <w:rPr>
          <w:lang w:val="en-GB"/>
        </w:rPr>
        <w:t xml:space="preserve"> broadcast for camping in the cell</w:t>
      </w:r>
      <w:r w:rsidR="001F6907">
        <w:rPr>
          <w:lang w:val="en-GB"/>
        </w:rPr>
        <w:t>.</w:t>
      </w:r>
      <w:r w:rsidR="0037150E">
        <w:rPr>
          <w:lang w:val="en-GB"/>
        </w:rPr>
        <w:t xml:space="preserve"> </w:t>
      </w:r>
      <w:r w:rsidR="00FD7B8A">
        <w:rPr>
          <w:lang w:val="en-GB"/>
        </w:rPr>
        <w:t>Then there are also idle/inactive mode procedures for</w:t>
      </w:r>
      <w:r w:rsidR="00744DB0">
        <w:rPr>
          <w:lang w:val="en-GB"/>
        </w:rPr>
        <w:t xml:space="preserve"> the </w:t>
      </w:r>
      <w:r w:rsidR="005F180B">
        <w:rPr>
          <w:lang w:val="en-GB"/>
        </w:rPr>
        <w:t xml:space="preserve">UE </w:t>
      </w:r>
      <w:r w:rsidR="009D215B">
        <w:rPr>
          <w:lang w:val="en-GB"/>
        </w:rPr>
        <w:t xml:space="preserve">to </w:t>
      </w:r>
      <w:r w:rsidR="0037150E">
        <w:rPr>
          <w:lang w:val="en-GB"/>
        </w:rPr>
        <w:t>perform</w:t>
      </w:r>
      <w:r w:rsidR="00D816C2">
        <w:rPr>
          <w:lang w:val="en-GB"/>
        </w:rPr>
        <w:t>,</w:t>
      </w:r>
      <w:r w:rsidR="0037150E">
        <w:rPr>
          <w:lang w:val="en-GB"/>
        </w:rPr>
        <w:t xml:space="preserve"> </w:t>
      </w:r>
      <w:r w:rsidR="00FD7B8A">
        <w:rPr>
          <w:lang w:val="en-GB"/>
        </w:rPr>
        <w:t>such as neighbour</w:t>
      </w:r>
      <w:r w:rsidR="0037150E">
        <w:rPr>
          <w:lang w:val="en-GB"/>
        </w:rPr>
        <w:t xml:space="preserve"> cell measurements, cell </w:t>
      </w:r>
      <w:r w:rsidR="00FD7B8A">
        <w:rPr>
          <w:lang w:val="en-GB"/>
        </w:rPr>
        <w:t>reselection, and registration</w:t>
      </w:r>
      <w:r w:rsidR="0037150E">
        <w:rPr>
          <w:lang w:val="en-GB"/>
        </w:rPr>
        <w:t xml:space="preserve"> area updates. </w:t>
      </w:r>
      <w:r w:rsidR="0037150E">
        <w:t xml:space="preserve">The </w:t>
      </w:r>
      <w:r w:rsidR="0056105D">
        <w:t>impact on those procedures</w:t>
      </w:r>
      <w:r w:rsidR="00E17538">
        <w:t xml:space="preserve"> </w:t>
      </w:r>
      <w:r w:rsidR="00F77291">
        <w:t>should</w:t>
      </w:r>
      <w:r w:rsidR="0037150E">
        <w:t xml:space="preserve"> be studied in detail before </w:t>
      </w:r>
      <w:r w:rsidR="0056105D">
        <w:t xml:space="preserve">specifying a </w:t>
      </w:r>
      <w:r w:rsidR="0056105D">
        <w:rPr>
          <w:lang w:val="en-GB"/>
        </w:rPr>
        <w:t xml:space="preserve">notification/alert </w:t>
      </w:r>
      <w:r w:rsidR="0056105D">
        <w:t xml:space="preserve">channel. </w:t>
      </w:r>
      <w:r w:rsidR="00136AE7">
        <w:rPr>
          <w:lang w:val="en-GB"/>
        </w:rPr>
        <w:t>If justified, such</w:t>
      </w:r>
      <w:r w:rsidR="0037150E">
        <w:rPr>
          <w:lang w:val="en-GB"/>
        </w:rPr>
        <w:t xml:space="preserve"> channel</w:t>
      </w:r>
      <w:r w:rsidR="00136AE7">
        <w:rPr>
          <w:lang w:val="en-GB"/>
        </w:rPr>
        <w:t xml:space="preserve"> should only be specified </w:t>
      </w:r>
      <w:r w:rsidR="0056105D">
        <w:rPr>
          <w:lang w:val="en-GB"/>
        </w:rPr>
        <w:t>with a</w:t>
      </w:r>
      <w:r w:rsidR="001041DB">
        <w:rPr>
          <w:lang w:val="en-GB"/>
        </w:rPr>
        <w:t xml:space="preserve"> target coverage </w:t>
      </w:r>
      <w:r w:rsidR="0056105D">
        <w:rPr>
          <w:lang w:val="en-GB"/>
        </w:rPr>
        <w:t>not better than</w:t>
      </w:r>
      <w:r w:rsidR="00136AE7">
        <w:rPr>
          <w:lang w:val="en-GB"/>
        </w:rPr>
        <w:t xml:space="preserve"> </w:t>
      </w:r>
      <w:r w:rsidR="004754B7">
        <w:rPr>
          <w:lang w:val="en-GB"/>
        </w:rPr>
        <w:t xml:space="preserve">legacy </w:t>
      </w:r>
      <w:r w:rsidR="0056105D">
        <w:rPr>
          <w:lang w:val="en-GB"/>
        </w:rPr>
        <w:t xml:space="preserve">SSB </w:t>
      </w:r>
      <w:r w:rsidR="00136AE7">
        <w:rPr>
          <w:lang w:val="en-GB"/>
        </w:rPr>
        <w:t>coverage</w:t>
      </w:r>
      <w:r w:rsidR="0056105D">
        <w:rPr>
          <w:lang w:val="en-GB"/>
        </w:rPr>
        <w:t xml:space="preserve">. </w:t>
      </w:r>
      <w:r w:rsidR="006E5BCF">
        <w:rPr>
          <w:lang w:val="en-GB"/>
        </w:rPr>
        <w:t>I</w:t>
      </w:r>
      <w:r w:rsidR="0037150E">
        <w:rPr>
          <w:lang w:val="en-GB"/>
        </w:rPr>
        <w:t>mproving SSB coverage</w:t>
      </w:r>
      <w:r w:rsidR="00744DB0">
        <w:rPr>
          <w:lang w:val="en-GB"/>
        </w:rPr>
        <w:t xml:space="preserve"> should not be considered in the scope of this work</w:t>
      </w:r>
      <w:r w:rsidR="006E5BCF">
        <w:rPr>
          <w:lang w:val="en-GB"/>
        </w:rPr>
        <w:t xml:space="preserve">. </w:t>
      </w:r>
    </w:p>
    <w:p w14:paraId="603E5D56" w14:textId="3F7E1A2F" w:rsidR="00EA6055" w:rsidRDefault="00EA6055" w:rsidP="000C1A7B">
      <w:pPr>
        <w:pStyle w:val="Heading3"/>
      </w:pPr>
      <w:r>
        <w:t>Objectives</w:t>
      </w:r>
    </w:p>
    <w:p w14:paraId="5B6D9EE0" w14:textId="602A254A" w:rsidR="008533D0" w:rsidRPr="003331D2" w:rsidRDefault="003D7673" w:rsidP="004A275B">
      <w:pPr>
        <w:contextualSpacing/>
        <w:jc w:val="both"/>
        <w:rPr>
          <w:rFonts w:cs="Arial"/>
          <w:szCs w:val="20"/>
        </w:rPr>
      </w:pPr>
      <w:r w:rsidRPr="003D7673">
        <w:rPr>
          <w:rFonts w:cs="Arial"/>
          <w:szCs w:val="20"/>
        </w:rPr>
        <w:t>Improving SSB coverage is out of scope of this objective.</w:t>
      </w:r>
      <w:r w:rsidR="001665F6">
        <w:rPr>
          <w:rFonts w:cs="Arial"/>
          <w:szCs w:val="20"/>
        </w:rPr>
        <w:t xml:space="preserve"> </w:t>
      </w:r>
      <w:r w:rsidR="00603A9F" w:rsidRPr="00603A9F">
        <w:rPr>
          <w:rFonts w:cs="Arial"/>
          <w:szCs w:val="20"/>
        </w:rPr>
        <w:t>Coverage of a potential new notification/alert channel should not go beyond legacy SSB coverage.</w:t>
      </w:r>
      <w:r w:rsidR="00603A9F">
        <w:rPr>
          <w:rFonts w:cs="Arial"/>
          <w:szCs w:val="20"/>
        </w:rPr>
        <w:t xml:space="preserve"> </w:t>
      </w:r>
      <w:r w:rsidR="008533D0" w:rsidRPr="003331D2">
        <w:rPr>
          <w:rFonts w:cs="Arial"/>
          <w:szCs w:val="20"/>
        </w:rPr>
        <w:t>The following two</w:t>
      </w:r>
      <w:r w:rsidR="0086632D">
        <w:rPr>
          <w:rFonts w:cs="Arial"/>
          <w:szCs w:val="20"/>
        </w:rPr>
        <w:t>-</w:t>
      </w:r>
      <w:r w:rsidR="008533D0" w:rsidRPr="003331D2">
        <w:rPr>
          <w:rFonts w:cs="Arial"/>
          <w:szCs w:val="20"/>
        </w:rPr>
        <w:t>step approach should be considered</w:t>
      </w:r>
      <w:r w:rsidR="008533D0">
        <w:rPr>
          <w:rFonts w:cs="Arial"/>
          <w:szCs w:val="20"/>
        </w:rPr>
        <w:t>:</w:t>
      </w:r>
    </w:p>
    <w:p w14:paraId="1774EF0A" w14:textId="77777777" w:rsidR="008533D0" w:rsidRPr="003F0EFA" w:rsidRDefault="008533D0" w:rsidP="00114A2C">
      <w:pPr>
        <w:pStyle w:val="ListParagraph"/>
        <w:numPr>
          <w:ilvl w:val="0"/>
          <w:numId w:val="51"/>
        </w:numPr>
        <w:spacing w:after="160"/>
        <w:contextualSpacing/>
        <w:jc w:val="both"/>
        <w:rPr>
          <w:rFonts w:ascii="Arial" w:hAnsi="Arial" w:cs="Arial"/>
          <w:sz w:val="20"/>
          <w:szCs w:val="20"/>
        </w:rPr>
      </w:pPr>
      <w:r w:rsidRPr="003F0EFA">
        <w:rPr>
          <w:rFonts w:ascii="Arial" w:hAnsi="Arial" w:cs="Arial"/>
          <w:sz w:val="20"/>
          <w:szCs w:val="20"/>
        </w:rPr>
        <w:t xml:space="preserve">Study phase: </w:t>
      </w:r>
    </w:p>
    <w:p w14:paraId="1B840C8B" w14:textId="1F41D404" w:rsidR="008533D0" w:rsidRPr="004A275B" w:rsidRDefault="002F3713" w:rsidP="00114A2C">
      <w:pPr>
        <w:pStyle w:val="ListParagraph"/>
        <w:numPr>
          <w:ilvl w:val="1"/>
          <w:numId w:val="51"/>
        </w:numPr>
        <w:spacing w:after="160"/>
        <w:contextualSpacing/>
        <w:jc w:val="both"/>
        <w:rPr>
          <w:rFonts w:ascii="Arial" w:hAnsi="Arial" w:cs="Arial"/>
          <w:sz w:val="20"/>
          <w:szCs w:val="20"/>
        </w:rPr>
      </w:pPr>
      <w:r w:rsidRPr="002F3713">
        <w:rPr>
          <w:rFonts w:ascii="Arial" w:hAnsi="Arial" w:cs="Arial"/>
          <w:sz w:val="20"/>
          <w:szCs w:val="20"/>
          <w:lang w:val="en-US"/>
        </w:rPr>
        <w:t>Identify possible solutions for the support of a</w:t>
      </w:r>
      <w:r w:rsidR="00EA7477">
        <w:rPr>
          <w:rFonts w:ascii="Arial" w:hAnsi="Arial" w:cs="Arial"/>
          <w:sz w:val="20"/>
          <w:szCs w:val="20"/>
          <w:lang w:val="en-US"/>
        </w:rPr>
        <w:t xml:space="preserve"> UE-specific</w:t>
      </w:r>
      <w:r w:rsidRPr="002F3713">
        <w:rPr>
          <w:rFonts w:ascii="Arial" w:hAnsi="Arial" w:cs="Arial"/>
          <w:sz w:val="20"/>
          <w:szCs w:val="20"/>
          <w:lang w:val="en-US"/>
        </w:rPr>
        <w:t xml:space="preserve"> robust notification/alert message and its delivery (including paging procedure impact) over downlink physical channel(s)</w:t>
      </w:r>
      <w:r w:rsidR="008533D0">
        <w:rPr>
          <w:rFonts w:ascii="Arial" w:hAnsi="Arial" w:cs="Arial"/>
          <w:sz w:val="20"/>
          <w:szCs w:val="20"/>
          <w:lang w:val="en-US"/>
        </w:rPr>
        <w:t>.</w:t>
      </w:r>
    </w:p>
    <w:p w14:paraId="068278BA" w14:textId="2B1DA501" w:rsidR="008F098D" w:rsidRPr="00EA1CCA" w:rsidRDefault="00EA1CCA" w:rsidP="00EA1CCA">
      <w:pPr>
        <w:pStyle w:val="ListParagraph"/>
        <w:numPr>
          <w:ilvl w:val="1"/>
          <w:numId w:val="51"/>
        </w:numPr>
        <w:spacing w:after="160"/>
        <w:contextualSpacing/>
        <w:jc w:val="both"/>
        <w:rPr>
          <w:rFonts w:ascii="Arial" w:hAnsi="Arial" w:cs="Arial"/>
          <w:sz w:val="20"/>
          <w:szCs w:val="20"/>
        </w:rPr>
      </w:pPr>
      <w:r w:rsidRPr="00EA1CCA">
        <w:rPr>
          <w:rFonts w:ascii="Arial" w:hAnsi="Arial" w:cs="Arial"/>
          <w:sz w:val="20"/>
          <w:szCs w:val="20"/>
          <w:lang w:val="en-US"/>
        </w:rPr>
        <w:t xml:space="preserve">Compare </w:t>
      </w:r>
      <w:r w:rsidR="008F098D" w:rsidRPr="00EA1CCA">
        <w:rPr>
          <w:rFonts w:ascii="Arial" w:hAnsi="Arial" w:cs="Arial"/>
          <w:sz w:val="20"/>
          <w:szCs w:val="20"/>
        </w:rPr>
        <w:t>the coverage of a potential new notification/alert channel as well as the coverage of coverage enhanced PDCCH/PDSCH carrying regular paging to the coverage performance of SSB.</w:t>
      </w:r>
    </w:p>
    <w:p w14:paraId="33E1FA74" w14:textId="77777777" w:rsidR="008533D0" w:rsidRPr="003F0EFA" w:rsidRDefault="008533D0" w:rsidP="00114A2C">
      <w:pPr>
        <w:pStyle w:val="ListParagraph"/>
        <w:numPr>
          <w:ilvl w:val="0"/>
          <w:numId w:val="51"/>
        </w:numPr>
        <w:spacing w:after="160"/>
        <w:contextualSpacing/>
        <w:jc w:val="both"/>
        <w:rPr>
          <w:rFonts w:ascii="Arial" w:hAnsi="Arial" w:cs="Arial"/>
          <w:sz w:val="20"/>
          <w:szCs w:val="20"/>
        </w:rPr>
      </w:pPr>
      <w:r w:rsidRPr="003F0EFA">
        <w:rPr>
          <w:rFonts w:ascii="Arial" w:hAnsi="Arial" w:cs="Arial"/>
          <w:sz w:val="20"/>
          <w:szCs w:val="20"/>
        </w:rPr>
        <w:t>Normative phase:</w:t>
      </w:r>
    </w:p>
    <w:p w14:paraId="7F51F254" w14:textId="0EB51838" w:rsidR="008533D0" w:rsidRDefault="008533D0" w:rsidP="00114A2C">
      <w:pPr>
        <w:pStyle w:val="ListParagraph"/>
        <w:numPr>
          <w:ilvl w:val="1"/>
          <w:numId w:val="51"/>
        </w:numPr>
        <w:spacing w:after="160"/>
        <w:contextualSpacing/>
        <w:jc w:val="both"/>
        <w:rPr>
          <w:rFonts w:ascii="Arial" w:hAnsi="Arial" w:cs="Arial"/>
          <w:sz w:val="20"/>
          <w:szCs w:val="20"/>
          <w:lang w:val="en-US"/>
        </w:rPr>
      </w:pPr>
      <w:r>
        <w:rPr>
          <w:rFonts w:ascii="Arial" w:hAnsi="Arial" w:cs="Arial"/>
          <w:sz w:val="20"/>
          <w:szCs w:val="20"/>
          <w:lang w:val="en-US"/>
        </w:rPr>
        <w:t xml:space="preserve">If found beneficial, </w:t>
      </w:r>
      <w:r w:rsidR="00102B50">
        <w:rPr>
          <w:rFonts w:ascii="Arial" w:hAnsi="Arial" w:cs="Arial"/>
          <w:sz w:val="20"/>
          <w:szCs w:val="20"/>
          <w:lang w:val="en-US"/>
        </w:rPr>
        <w:t xml:space="preserve">proceed to </w:t>
      </w:r>
      <w:r w:rsidR="005F443B">
        <w:rPr>
          <w:rFonts w:ascii="Arial" w:hAnsi="Arial" w:cs="Arial"/>
          <w:sz w:val="20"/>
          <w:szCs w:val="20"/>
          <w:lang w:val="en-US"/>
        </w:rPr>
        <w:t xml:space="preserve">a normative phase to </w:t>
      </w:r>
      <w:r>
        <w:rPr>
          <w:rFonts w:ascii="Arial" w:hAnsi="Arial" w:cs="Arial"/>
          <w:sz w:val="20"/>
          <w:szCs w:val="20"/>
          <w:lang w:val="en-US"/>
        </w:rPr>
        <w:t>d</w:t>
      </w:r>
      <w:r w:rsidRPr="003F0EFA">
        <w:rPr>
          <w:rFonts w:ascii="Arial" w:hAnsi="Arial" w:cs="Arial"/>
          <w:sz w:val="20"/>
          <w:szCs w:val="20"/>
          <w:lang w:val="en-US"/>
        </w:rPr>
        <w:t>efine</w:t>
      </w:r>
      <w:r w:rsidR="00351909">
        <w:rPr>
          <w:rFonts w:ascii="Arial" w:hAnsi="Arial" w:cs="Arial"/>
          <w:sz w:val="20"/>
          <w:szCs w:val="20"/>
          <w:lang w:val="en-US"/>
        </w:rPr>
        <w:t xml:space="preserve"> a robust notification/alert channel</w:t>
      </w:r>
      <w:r>
        <w:rPr>
          <w:rFonts w:ascii="Arial" w:hAnsi="Arial" w:cs="Arial"/>
          <w:sz w:val="20"/>
          <w:szCs w:val="20"/>
          <w:lang w:val="en-US"/>
        </w:rPr>
        <w:t>.</w:t>
      </w:r>
    </w:p>
    <w:p w14:paraId="0C88D124" w14:textId="074F413D" w:rsidR="003572FD" w:rsidRDefault="000C1A7B" w:rsidP="00114A2C">
      <w:pPr>
        <w:pStyle w:val="Heading2"/>
        <w:jc w:val="both"/>
      </w:pPr>
      <w:r>
        <w:t>2</w:t>
      </w:r>
      <w:r w:rsidR="003572FD">
        <w:t>.3</w:t>
      </w:r>
      <w:r w:rsidR="00416873">
        <w:t xml:space="preserve"> </w:t>
      </w:r>
      <w:r w:rsidR="004A5CA9">
        <w:tab/>
      </w:r>
      <w:r w:rsidR="00416873">
        <w:t>Enhanced GNSS Operation</w:t>
      </w:r>
    </w:p>
    <w:p w14:paraId="320DE85E" w14:textId="3618B6C0" w:rsidR="00016D51" w:rsidRDefault="00143DCA" w:rsidP="00114A2C">
      <w:pPr>
        <w:jc w:val="both"/>
        <w:rPr>
          <w:lang w:val="en-GB" w:eastAsia="ja-JP"/>
        </w:rPr>
      </w:pPr>
      <w:r>
        <w:rPr>
          <w:lang w:val="en-GB" w:eastAsia="ja-JP"/>
        </w:rPr>
        <w:t xml:space="preserve">NTN as standardized in Rel-17/18 relies on the UE pre-compensating the time and frequency shift due to the distance to the satellite and its movement. The UE calculates the needed compensation from the ephemeris of the serving satellite and its own location, which it determines via GNSS. The NTN system thus depends crucially on the availability of GNSS signals, which can easily be jammed or spoofed. </w:t>
      </w:r>
      <w:r w:rsidR="00CA4B9D">
        <w:rPr>
          <w:lang w:val="en-GB" w:eastAsia="ja-JP"/>
        </w:rPr>
        <w:t>Enhancements that would allow UEs</w:t>
      </w:r>
      <w:r w:rsidR="00016A31">
        <w:rPr>
          <w:lang w:val="en-GB" w:eastAsia="ja-JP"/>
        </w:rPr>
        <w:t xml:space="preserve"> to connect </w:t>
      </w:r>
      <w:r w:rsidR="00C82835">
        <w:rPr>
          <w:lang w:val="en-GB" w:eastAsia="ja-JP"/>
        </w:rPr>
        <w:t xml:space="preserve">(or stay connected) to an NTN </w:t>
      </w:r>
      <w:r w:rsidR="00494026">
        <w:rPr>
          <w:lang w:val="en-GB" w:eastAsia="ja-JP"/>
        </w:rPr>
        <w:t xml:space="preserve">even during such </w:t>
      </w:r>
      <w:r w:rsidR="00E04546">
        <w:rPr>
          <w:lang w:val="en-GB" w:eastAsia="ja-JP"/>
        </w:rPr>
        <w:t xml:space="preserve">periods </w:t>
      </w:r>
      <w:r w:rsidR="00DE35CD">
        <w:rPr>
          <w:lang w:val="en-GB" w:eastAsia="ja-JP"/>
        </w:rPr>
        <w:t xml:space="preserve">when no GNSS signal is available would significantly </w:t>
      </w:r>
      <w:r w:rsidR="00745CF2">
        <w:rPr>
          <w:lang w:val="en-GB" w:eastAsia="ja-JP"/>
        </w:rPr>
        <w:t xml:space="preserve">improve the robustness </w:t>
      </w:r>
      <w:r w:rsidR="00AF11D8">
        <w:rPr>
          <w:lang w:val="en-GB" w:eastAsia="ja-JP"/>
        </w:rPr>
        <w:t xml:space="preserve">of </w:t>
      </w:r>
      <w:r w:rsidR="00F35CC8">
        <w:rPr>
          <w:lang w:val="en-GB" w:eastAsia="ja-JP"/>
        </w:rPr>
        <w:t>an NTN system.</w:t>
      </w:r>
    </w:p>
    <w:p w14:paraId="1D32FA09" w14:textId="6CAC3B12" w:rsidR="008B4491" w:rsidRDefault="008B4491" w:rsidP="004F5F78">
      <w:pPr>
        <w:pStyle w:val="Heading3"/>
      </w:pPr>
      <w:r>
        <w:t>Objectives</w:t>
      </w:r>
    </w:p>
    <w:p w14:paraId="726A1947" w14:textId="309139B6" w:rsidR="0063306C" w:rsidRDefault="00143DCA" w:rsidP="00114A2C">
      <w:pPr>
        <w:pStyle w:val="ListParagraph"/>
        <w:numPr>
          <w:ilvl w:val="0"/>
          <w:numId w:val="51"/>
        </w:numPr>
        <w:spacing w:after="160"/>
        <w:contextualSpacing/>
        <w:jc w:val="both"/>
        <w:rPr>
          <w:rFonts w:ascii="Arial" w:hAnsi="Arial" w:cs="Arial"/>
          <w:sz w:val="20"/>
          <w:szCs w:val="20"/>
          <w:lang w:val="en-GB" w:eastAsia="ja-JP"/>
        </w:rPr>
      </w:pPr>
      <w:r w:rsidRPr="004F5F78">
        <w:rPr>
          <w:rFonts w:ascii="Arial" w:hAnsi="Arial" w:cs="Arial"/>
          <w:sz w:val="20"/>
          <w:szCs w:val="20"/>
          <w:bdr w:val="none" w:sz="0" w:space="0" w:color="auto" w:frame="1"/>
        </w:rPr>
        <w:t xml:space="preserve">Study, and if </w:t>
      </w:r>
      <w:r w:rsidRPr="004F5F78">
        <w:rPr>
          <w:rFonts w:ascii="Arial" w:hAnsi="Arial" w:cs="Arial"/>
          <w:sz w:val="20"/>
          <w:szCs w:val="20"/>
          <w:lang w:val="en-GB" w:eastAsia="ja-JP"/>
        </w:rPr>
        <w:t>needed specify, enhancements for the UE pre-compensation for UL time and frequency synchronization in case GNSS availability and/or accuracy is reduced</w:t>
      </w:r>
      <w:r w:rsidR="0063306C">
        <w:rPr>
          <w:rFonts w:ascii="Arial" w:hAnsi="Arial" w:cs="Arial"/>
          <w:sz w:val="20"/>
          <w:szCs w:val="20"/>
          <w:lang w:val="en-GB" w:eastAsia="ja-JP"/>
        </w:rPr>
        <w:t>.</w:t>
      </w:r>
    </w:p>
    <w:p w14:paraId="211BDDDD" w14:textId="138A12F0" w:rsidR="00143DCA" w:rsidRDefault="0063306C" w:rsidP="00114A2C">
      <w:pPr>
        <w:pStyle w:val="ListParagraph"/>
        <w:numPr>
          <w:ilvl w:val="0"/>
          <w:numId w:val="51"/>
        </w:numPr>
        <w:spacing w:after="160"/>
        <w:contextualSpacing/>
        <w:jc w:val="both"/>
        <w:rPr>
          <w:rFonts w:cs="Arial"/>
          <w:szCs w:val="20"/>
          <w:lang w:val="en-GB" w:eastAsia="ja-JP"/>
        </w:rPr>
      </w:pPr>
      <w:r>
        <w:rPr>
          <w:rFonts w:ascii="Arial" w:hAnsi="Arial" w:cs="Arial"/>
          <w:sz w:val="20"/>
          <w:szCs w:val="20"/>
          <w:lang w:val="en-GB" w:eastAsia="ja-JP"/>
        </w:rPr>
        <w:t xml:space="preserve">Both </w:t>
      </w:r>
      <w:r w:rsidR="00143DCA" w:rsidRPr="004F5F78">
        <w:rPr>
          <w:rFonts w:ascii="Arial" w:hAnsi="Arial" w:cs="Arial"/>
          <w:sz w:val="20"/>
          <w:szCs w:val="20"/>
          <w:lang w:val="en-GB" w:eastAsia="ja-JP"/>
        </w:rPr>
        <w:t xml:space="preserve">connected </w:t>
      </w:r>
      <w:r w:rsidR="007F5DC2">
        <w:rPr>
          <w:rFonts w:ascii="Arial" w:hAnsi="Arial" w:cs="Arial"/>
          <w:sz w:val="20"/>
          <w:szCs w:val="20"/>
          <w:lang w:val="en-GB" w:eastAsia="ja-JP"/>
        </w:rPr>
        <w:t>mode (</w:t>
      </w:r>
      <w:r w:rsidR="00B00E33">
        <w:rPr>
          <w:rFonts w:ascii="Arial" w:hAnsi="Arial" w:cs="Arial"/>
          <w:sz w:val="20"/>
          <w:szCs w:val="20"/>
          <w:lang w:val="en-GB" w:eastAsia="ja-JP"/>
        </w:rPr>
        <w:t>long connection times</w:t>
      </w:r>
      <w:r w:rsidR="007F5DC2">
        <w:rPr>
          <w:rFonts w:ascii="Arial" w:hAnsi="Arial" w:cs="Arial"/>
          <w:sz w:val="20"/>
          <w:szCs w:val="20"/>
          <w:lang w:val="en-GB" w:eastAsia="ja-JP"/>
        </w:rPr>
        <w:t xml:space="preserve">) </w:t>
      </w:r>
      <w:r w:rsidR="00143DCA" w:rsidRPr="004F5F78">
        <w:rPr>
          <w:rFonts w:ascii="Arial" w:hAnsi="Arial" w:cs="Arial"/>
          <w:sz w:val="20"/>
          <w:szCs w:val="20"/>
          <w:lang w:val="en-GB" w:eastAsia="ja-JP"/>
        </w:rPr>
        <w:t>and idle mode</w:t>
      </w:r>
      <w:r w:rsidR="007F5DC2">
        <w:rPr>
          <w:rFonts w:ascii="Arial" w:hAnsi="Arial" w:cs="Arial"/>
          <w:sz w:val="20"/>
          <w:szCs w:val="20"/>
          <w:lang w:val="en-GB" w:eastAsia="ja-JP"/>
        </w:rPr>
        <w:t xml:space="preserve"> (PRACH transmissions) are in scope of this objective.</w:t>
      </w:r>
    </w:p>
    <w:p w14:paraId="34131B54" w14:textId="530132C6" w:rsidR="003F170F" w:rsidRPr="003F170F" w:rsidRDefault="000C1A7B" w:rsidP="004F5F78">
      <w:pPr>
        <w:pStyle w:val="Heading2"/>
        <w:ind w:left="0" w:firstLine="0"/>
        <w:jc w:val="both"/>
      </w:pPr>
      <w:r>
        <w:t>2</w:t>
      </w:r>
      <w:r w:rsidR="003F170F">
        <w:t>.4</w:t>
      </w:r>
      <w:r w:rsidR="00B92E7C">
        <w:t xml:space="preserve"> </w:t>
      </w:r>
      <w:r w:rsidR="004A5CA9">
        <w:tab/>
      </w:r>
      <w:r w:rsidR="004A5CA9">
        <w:tab/>
      </w:r>
      <w:r w:rsidR="00B92E7C">
        <w:t>Regenerative Architecture</w:t>
      </w:r>
    </w:p>
    <w:p w14:paraId="444874CA" w14:textId="556F242D" w:rsidR="006D6FEF" w:rsidRPr="000A3F9F" w:rsidRDefault="00B3477C" w:rsidP="004F5F78">
      <w:pPr>
        <w:pStyle w:val="Doc-text2"/>
        <w:ind w:left="0" w:firstLine="0"/>
        <w:jc w:val="both"/>
        <w:rPr>
          <w:lang w:val="en-US"/>
        </w:rPr>
      </w:pPr>
      <w:r>
        <w:rPr>
          <w:lang w:val="en-GB" w:eastAsia="ja-JP"/>
        </w:rPr>
        <w:t>After investigat</w:t>
      </w:r>
      <w:r w:rsidR="00CA4296">
        <w:rPr>
          <w:lang w:val="en-GB" w:eastAsia="ja-JP"/>
        </w:rPr>
        <w:t>ing</w:t>
      </w:r>
      <w:r>
        <w:rPr>
          <w:lang w:val="en-GB" w:eastAsia="ja-JP"/>
        </w:rPr>
        <w:t xml:space="preserve"> the feasibility of different architectures or split options to support NTN </w:t>
      </w:r>
      <w:r w:rsidR="00CA4296">
        <w:rPr>
          <w:lang w:val="en-GB" w:eastAsia="ja-JP"/>
        </w:rPr>
        <w:t>in the Rel-16 SI on NTN</w:t>
      </w:r>
      <w:r>
        <w:rPr>
          <w:lang w:val="en-GB" w:eastAsia="ja-JP"/>
        </w:rPr>
        <w:t xml:space="preserve">, </w:t>
      </w:r>
      <w:r w:rsidR="00055025">
        <w:rPr>
          <w:rFonts w:cs="Arial"/>
          <w:szCs w:val="20"/>
          <w:lang w:eastAsia="ja-JP"/>
        </w:rPr>
        <w:t>the transparent option was selected to be standardized in Rel-17</w:t>
      </w:r>
      <w:r w:rsidR="00DF238C">
        <w:rPr>
          <w:rFonts w:cs="Arial"/>
          <w:szCs w:val="20"/>
          <w:lang w:val="en-US" w:eastAsia="ja-JP"/>
        </w:rPr>
        <w:t xml:space="preserve">. </w:t>
      </w:r>
      <w:r w:rsidR="00904DC2" w:rsidRPr="2B92249F">
        <w:rPr>
          <w:rFonts w:cs="Arial"/>
          <w:lang w:eastAsia="ja-JP"/>
        </w:rPr>
        <w:t>It is clear, however, that a regenerative solution</w:t>
      </w:r>
      <w:r w:rsidR="00904DC2">
        <w:rPr>
          <w:rFonts w:cs="Arial"/>
          <w:lang w:eastAsia="ja-JP"/>
        </w:rPr>
        <w:t xml:space="preserve"> with </w:t>
      </w:r>
      <w:r w:rsidR="00904DC2">
        <w:rPr>
          <w:rFonts w:cs="Arial"/>
          <w:lang w:val="en-US" w:eastAsia="ja-JP"/>
        </w:rPr>
        <w:t xml:space="preserve">the full </w:t>
      </w:r>
      <w:r w:rsidR="00904DC2">
        <w:rPr>
          <w:rFonts w:cs="Arial"/>
          <w:lang w:eastAsia="ja-JP"/>
        </w:rPr>
        <w:t>gNB</w:t>
      </w:r>
      <w:r w:rsidR="00904DC2" w:rsidRPr="2B92249F">
        <w:rPr>
          <w:rFonts w:cs="Arial"/>
          <w:lang w:eastAsia="ja-JP"/>
        </w:rPr>
        <w:t xml:space="preserve"> </w:t>
      </w:r>
      <w:r w:rsidR="00904DC2">
        <w:rPr>
          <w:rFonts w:cs="Arial"/>
          <w:lang w:val="en-US" w:eastAsia="ja-JP"/>
        </w:rPr>
        <w:t xml:space="preserve">on board </w:t>
      </w:r>
      <w:r w:rsidR="00904DC2" w:rsidRPr="2B92249F">
        <w:rPr>
          <w:rFonts w:cs="Arial"/>
          <w:lang w:eastAsia="ja-JP"/>
        </w:rPr>
        <w:t>is the most flexible option and offers the best performance (e.g.</w:t>
      </w:r>
      <w:r w:rsidR="00904DC2">
        <w:rPr>
          <w:rFonts w:cs="Arial"/>
          <w:lang w:eastAsia="ja-JP"/>
        </w:rPr>
        <w:t>,</w:t>
      </w:r>
      <w:r w:rsidR="00904DC2" w:rsidRPr="2B92249F">
        <w:rPr>
          <w:rFonts w:cs="Arial"/>
          <w:lang w:eastAsia="ja-JP"/>
        </w:rPr>
        <w:t xml:space="preserve"> significantly shorter round-trip time between UE and gNB). It would also be straightforward to implement the Xn interface between neighboring satellites using inter-satellite links.</w:t>
      </w:r>
      <w:r w:rsidR="00904DC2">
        <w:rPr>
          <w:rFonts w:cs="Arial"/>
          <w:lang w:eastAsia="ja-JP"/>
        </w:rPr>
        <w:t xml:space="preserve"> In addition, it would allow to place parts of</w:t>
      </w:r>
      <w:r w:rsidR="00904DC2" w:rsidRPr="2B92249F">
        <w:rPr>
          <w:rFonts w:cs="Arial"/>
          <w:lang w:eastAsia="ja-JP"/>
        </w:rPr>
        <w:t xml:space="preserve"> </w:t>
      </w:r>
      <w:r w:rsidR="00904DC2">
        <w:rPr>
          <w:rFonts w:cs="Arial"/>
          <w:lang w:eastAsia="ja-JP"/>
        </w:rPr>
        <w:t>the core network functions (e.g., UPF) on board the satellite, which is a requirement for Store &amp; Forward operation as being studied in the agreed Rel-19 SA2 SI [3].</w:t>
      </w:r>
      <w:r w:rsidR="00977FB6">
        <w:rPr>
          <w:rFonts w:cs="Arial"/>
          <w:lang w:val="en-US" w:eastAsia="ja-JP"/>
        </w:rPr>
        <w:t xml:space="preserve"> </w:t>
      </w:r>
      <w:r w:rsidR="00B87A64">
        <w:rPr>
          <w:rFonts w:cs="Arial"/>
          <w:lang w:val="en-US" w:eastAsia="ja-JP"/>
        </w:rPr>
        <w:t>It was found that p</w:t>
      </w:r>
      <w:r w:rsidR="00B87A64">
        <w:rPr>
          <w:rFonts w:cs="Arial"/>
          <w:szCs w:val="20"/>
          <w:lang w:eastAsia="ja-JP"/>
        </w:rPr>
        <w:t xml:space="preserve">lacing a gNB on board the satellite is already supported by the Rel-17 algorithms and enhancements. </w:t>
      </w:r>
      <w:r w:rsidR="00B87A64">
        <w:rPr>
          <w:lang w:val="en-GB" w:eastAsia="ja-JP"/>
        </w:rPr>
        <w:t>Confusion might arise from the fact that the high-level description in TS 38.300 explicitly mentions a transparent architecture.</w:t>
      </w:r>
    </w:p>
    <w:p w14:paraId="0F1E0084" w14:textId="0FFF21A5" w:rsidR="009F3E0A" w:rsidRDefault="009F3E0A" w:rsidP="000C1A7B">
      <w:pPr>
        <w:pStyle w:val="Heading3"/>
      </w:pPr>
      <w:r>
        <w:t>Objectives</w:t>
      </w:r>
    </w:p>
    <w:p w14:paraId="58901D43" w14:textId="2D75D9A2" w:rsidR="0031258B" w:rsidRDefault="0031258B" w:rsidP="00B55456">
      <w:pPr>
        <w:pStyle w:val="ListParagraph"/>
        <w:numPr>
          <w:ilvl w:val="0"/>
          <w:numId w:val="51"/>
        </w:numPr>
        <w:spacing w:after="160"/>
        <w:contextualSpacing/>
        <w:jc w:val="both"/>
        <w:rPr>
          <w:rFonts w:ascii="Arial" w:hAnsi="Arial" w:cs="Arial"/>
          <w:sz w:val="20"/>
          <w:szCs w:val="20"/>
          <w:lang w:val="en-GB" w:eastAsia="ja-JP"/>
        </w:rPr>
      </w:pPr>
      <w:r w:rsidRPr="0031258B">
        <w:rPr>
          <w:rFonts w:ascii="Arial" w:hAnsi="Arial" w:cs="Arial"/>
          <w:sz w:val="20"/>
          <w:szCs w:val="20"/>
          <w:bdr w:val="none" w:sz="0" w:space="0" w:color="auto" w:frame="1"/>
        </w:rPr>
        <w:t xml:space="preserve">Add a clarification to TS 38.300, stating that a regenerative architecture with </w:t>
      </w:r>
      <w:r w:rsidR="00673BCA">
        <w:rPr>
          <w:rFonts w:ascii="Arial" w:hAnsi="Arial" w:cs="Arial"/>
          <w:sz w:val="20"/>
          <w:szCs w:val="20"/>
          <w:bdr w:val="none" w:sz="0" w:space="0" w:color="auto" w:frame="1"/>
          <w:lang w:val="en-US"/>
        </w:rPr>
        <w:t xml:space="preserve">the full </w:t>
      </w:r>
      <w:r w:rsidRPr="0031258B">
        <w:rPr>
          <w:rFonts w:ascii="Arial" w:hAnsi="Arial" w:cs="Arial"/>
          <w:sz w:val="20"/>
          <w:szCs w:val="20"/>
          <w:bdr w:val="none" w:sz="0" w:space="0" w:color="auto" w:frame="1"/>
        </w:rPr>
        <w:t xml:space="preserve">gNB </w:t>
      </w:r>
      <w:r w:rsidR="00673BCA" w:rsidRPr="0031258B">
        <w:rPr>
          <w:rFonts w:ascii="Arial" w:hAnsi="Arial" w:cs="Arial"/>
          <w:sz w:val="20"/>
          <w:szCs w:val="20"/>
          <w:bdr w:val="none" w:sz="0" w:space="0" w:color="auto" w:frame="1"/>
        </w:rPr>
        <w:t>on</w:t>
      </w:r>
      <w:r w:rsidR="00673BCA">
        <w:rPr>
          <w:rFonts w:ascii="Arial" w:hAnsi="Arial" w:cs="Arial"/>
          <w:sz w:val="20"/>
          <w:szCs w:val="20"/>
          <w:bdr w:val="none" w:sz="0" w:space="0" w:color="auto" w:frame="1"/>
          <w:lang w:val="en-US"/>
        </w:rPr>
        <w:t xml:space="preserve"> </w:t>
      </w:r>
      <w:r w:rsidR="00673BCA" w:rsidRPr="0031258B">
        <w:rPr>
          <w:rFonts w:ascii="Arial" w:hAnsi="Arial" w:cs="Arial"/>
          <w:sz w:val="20"/>
          <w:szCs w:val="20"/>
          <w:bdr w:val="none" w:sz="0" w:space="0" w:color="auto" w:frame="1"/>
        </w:rPr>
        <w:t xml:space="preserve">board </w:t>
      </w:r>
      <w:r w:rsidRPr="0031258B">
        <w:rPr>
          <w:rFonts w:ascii="Arial" w:hAnsi="Arial" w:cs="Arial"/>
          <w:sz w:val="20"/>
          <w:szCs w:val="20"/>
          <w:bdr w:val="none" w:sz="0" w:space="0" w:color="auto" w:frame="1"/>
        </w:rPr>
        <w:t>is supported.</w:t>
      </w:r>
    </w:p>
    <w:p w14:paraId="2BBF786B" w14:textId="29B25A52" w:rsidR="0031258B" w:rsidRDefault="0031258B" w:rsidP="00B55456">
      <w:pPr>
        <w:pStyle w:val="ListParagraph"/>
        <w:numPr>
          <w:ilvl w:val="0"/>
          <w:numId w:val="51"/>
        </w:numPr>
        <w:spacing w:after="160"/>
        <w:contextualSpacing/>
        <w:jc w:val="both"/>
        <w:rPr>
          <w:rFonts w:cs="Arial"/>
          <w:szCs w:val="20"/>
          <w:lang w:val="en-GB" w:eastAsia="ja-JP"/>
        </w:rPr>
      </w:pPr>
      <w:r w:rsidRPr="0031258B">
        <w:rPr>
          <w:rFonts w:ascii="Arial" w:hAnsi="Arial" w:cs="Arial"/>
          <w:sz w:val="20"/>
          <w:szCs w:val="20"/>
          <w:lang w:val="en-GB" w:eastAsia="ja-JP"/>
        </w:rPr>
        <w:t>If further clarifications are needed, they should be addressed</w:t>
      </w:r>
      <w:r>
        <w:rPr>
          <w:rFonts w:ascii="Arial" w:hAnsi="Arial" w:cs="Arial"/>
          <w:sz w:val="20"/>
          <w:szCs w:val="20"/>
          <w:lang w:val="en-GB" w:eastAsia="ja-JP"/>
        </w:rPr>
        <w:t>.</w:t>
      </w:r>
    </w:p>
    <w:p w14:paraId="1E7AADBC" w14:textId="00E51301" w:rsidR="0031258B" w:rsidRDefault="000C1A7B" w:rsidP="00B55456">
      <w:pPr>
        <w:pStyle w:val="Heading2"/>
        <w:jc w:val="both"/>
      </w:pPr>
      <w:r>
        <w:lastRenderedPageBreak/>
        <w:t>2</w:t>
      </w:r>
      <w:r w:rsidR="00836068">
        <w:t xml:space="preserve">.5 </w:t>
      </w:r>
      <w:r w:rsidR="004A5CA9">
        <w:tab/>
      </w:r>
      <w:r w:rsidR="00836068">
        <w:t>RedCap</w:t>
      </w:r>
    </w:p>
    <w:p w14:paraId="4626787C" w14:textId="445465E8" w:rsidR="00836068" w:rsidRDefault="00836068" w:rsidP="00B55456">
      <w:pPr>
        <w:jc w:val="both"/>
        <w:rPr>
          <w:lang w:eastAsia="ja-JP"/>
        </w:rPr>
      </w:pPr>
      <w:r>
        <w:rPr>
          <w:lang w:eastAsia="ja-JP"/>
        </w:rPr>
        <w:t xml:space="preserve">NR RedCap is a complementary NR interface introduced in Rel-17, to enable the usage of UEs with reduced complexity and form factor as well as new power saving features. RedCap requirements are different from those of LTE-M and NB-IoT, and RedCap should not be seen as a replacement of these technologies, which have been enhanced to support NTN in Rel-17/18 (IoT NTN). Nevertheless, we see that many IoT-like use cases could be served well by RedCap UEs. </w:t>
      </w:r>
      <w:r w:rsidR="00390800">
        <w:rPr>
          <w:lang w:eastAsia="ja-JP"/>
        </w:rPr>
        <w:t>T</w:t>
      </w:r>
      <w:r>
        <w:rPr>
          <w:lang w:eastAsia="ja-JP"/>
        </w:rPr>
        <w:t xml:space="preserve">he main item missing </w:t>
      </w:r>
      <w:r w:rsidR="005A453F">
        <w:rPr>
          <w:lang w:eastAsia="ja-JP"/>
        </w:rPr>
        <w:t xml:space="preserve">to enable RedCap </w:t>
      </w:r>
      <w:r w:rsidR="00886D4C">
        <w:rPr>
          <w:lang w:eastAsia="ja-JP"/>
        </w:rPr>
        <w:t xml:space="preserve">to </w:t>
      </w:r>
      <w:r w:rsidR="005A453F">
        <w:rPr>
          <w:lang w:eastAsia="ja-JP"/>
        </w:rPr>
        <w:t xml:space="preserve">support </w:t>
      </w:r>
      <w:r w:rsidR="00886D4C">
        <w:rPr>
          <w:lang w:eastAsia="ja-JP"/>
        </w:rPr>
        <w:t xml:space="preserve">NTN </w:t>
      </w:r>
      <w:r>
        <w:rPr>
          <w:lang w:eastAsia="ja-JP"/>
        </w:rPr>
        <w:t>are RAN4</w:t>
      </w:r>
      <w:r w:rsidR="00D3686B">
        <w:rPr>
          <w:lang w:eastAsia="ja-JP"/>
        </w:rPr>
        <w:t xml:space="preserve"> RF and</w:t>
      </w:r>
      <w:r>
        <w:rPr>
          <w:lang w:eastAsia="ja-JP"/>
        </w:rPr>
        <w:t xml:space="preserve"> RRM requirements. In addition, </w:t>
      </w:r>
      <w:r w:rsidR="00A07F65">
        <w:rPr>
          <w:lang w:eastAsia="ja-JP"/>
        </w:rPr>
        <w:t xml:space="preserve">the </w:t>
      </w:r>
      <w:r w:rsidR="00CC4089">
        <w:rPr>
          <w:lang w:eastAsia="ja-JP"/>
        </w:rPr>
        <w:t xml:space="preserve">complexity of specifying </w:t>
      </w:r>
      <w:r>
        <w:rPr>
          <w:lang w:eastAsia="ja-JP"/>
        </w:rPr>
        <w:t>support for half duplex FDD operation via NTN</w:t>
      </w:r>
      <w:r w:rsidR="00CC4089">
        <w:rPr>
          <w:lang w:eastAsia="ja-JP"/>
        </w:rPr>
        <w:t xml:space="preserve"> should be studied</w:t>
      </w:r>
      <w:r>
        <w:rPr>
          <w:lang w:eastAsia="ja-JP"/>
        </w:rPr>
        <w:t>.</w:t>
      </w:r>
    </w:p>
    <w:p w14:paraId="44C16AAD" w14:textId="6AFF4701" w:rsidR="00F16535" w:rsidRDefault="00F16535" w:rsidP="000C1A7B">
      <w:pPr>
        <w:pStyle w:val="Heading3"/>
      </w:pPr>
      <w:r>
        <w:t>Objectives</w:t>
      </w:r>
    </w:p>
    <w:p w14:paraId="68E91ECB" w14:textId="073125FD" w:rsidR="006B339C" w:rsidRDefault="00AD6659" w:rsidP="00B55456">
      <w:pPr>
        <w:pStyle w:val="ListParagraph"/>
        <w:numPr>
          <w:ilvl w:val="0"/>
          <w:numId w:val="51"/>
        </w:numPr>
        <w:spacing w:after="160"/>
        <w:contextualSpacing/>
        <w:jc w:val="both"/>
        <w:rPr>
          <w:rFonts w:ascii="Arial" w:hAnsi="Arial" w:cs="Arial"/>
          <w:sz w:val="20"/>
          <w:szCs w:val="20"/>
          <w:bdr w:val="none" w:sz="0" w:space="0" w:color="auto" w:frame="1"/>
        </w:rPr>
      </w:pPr>
      <w:r>
        <w:rPr>
          <w:rFonts w:ascii="Arial" w:hAnsi="Arial" w:cs="Arial"/>
          <w:sz w:val="20"/>
          <w:szCs w:val="20"/>
          <w:bdr w:val="none" w:sz="0" w:space="0" w:color="auto" w:frame="1"/>
          <w:lang w:val="en-US"/>
        </w:rPr>
        <w:t xml:space="preserve">Specify RF and </w:t>
      </w:r>
      <w:r w:rsidR="00836068" w:rsidRPr="006B339C">
        <w:rPr>
          <w:rFonts w:ascii="Arial" w:hAnsi="Arial" w:cs="Arial"/>
          <w:sz w:val="20"/>
          <w:szCs w:val="20"/>
          <w:bdr w:val="none" w:sz="0" w:space="0" w:color="auto" w:frame="1"/>
        </w:rPr>
        <w:t>RRM requirements to support NTN for RedCap UEs.</w:t>
      </w:r>
    </w:p>
    <w:p w14:paraId="4D9FE240" w14:textId="64E7D2FD" w:rsidR="00235AC7" w:rsidRPr="006B339C" w:rsidRDefault="00836068" w:rsidP="00B55456">
      <w:pPr>
        <w:pStyle w:val="ListParagraph"/>
        <w:numPr>
          <w:ilvl w:val="0"/>
          <w:numId w:val="51"/>
        </w:numPr>
        <w:spacing w:after="160"/>
        <w:contextualSpacing/>
        <w:jc w:val="both"/>
      </w:pPr>
      <w:r w:rsidRPr="006B339C">
        <w:rPr>
          <w:rFonts w:ascii="Arial" w:hAnsi="Arial" w:cs="Arial"/>
          <w:sz w:val="20"/>
          <w:szCs w:val="20"/>
          <w:bdr w:val="none" w:sz="0" w:space="0" w:color="auto" w:frame="1"/>
        </w:rPr>
        <w:t>Study and specify, if needed, support for HD-FDD operation in NTN.</w:t>
      </w:r>
    </w:p>
    <w:p w14:paraId="038F7030" w14:textId="299E3E6B" w:rsidR="006B339C" w:rsidRDefault="000C1A7B" w:rsidP="00B55456">
      <w:pPr>
        <w:pStyle w:val="Heading2"/>
        <w:jc w:val="both"/>
      </w:pPr>
      <w:r>
        <w:t>2</w:t>
      </w:r>
      <w:r w:rsidR="006B339C">
        <w:t>.6</w:t>
      </w:r>
      <w:r w:rsidR="00B31474">
        <w:t xml:space="preserve"> </w:t>
      </w:r>
      <w:r w:rsidR="004A5CA9">
        <w:tab/>
      </w:r>
      <w:r w:rsidR="0093461F">
        <w:t>High-</w:t>
      </w:r>
      <w:r w:rsidR="009D2C10">
        <w:t>P</w:t>
      </w:r>
      <w:r w:rsidR="0093461F">
        <w:t>ower UE</w:t>
      </w:r>
    </w:p>
    <w:p w14:paraId="10E9913E" w14:textId="3446BBED" w:rsidR="00327B3A" w:rsidRDefault="00FB2618" w:rsidP="00B55456">
      <w:pPr>
        <w:jc w:val="both"/>
        <w:rPr>
          <w:lang w:val="en-GB" w:eastAsia="ja-JP"/>
        </w:rPr>
      </w:pPr>
      <w:r>
        <w:rPr>
          <w:lang w:val="en-GB" w:eastAsia="ja-JP"/>
        </w:rPr>
        <w:t xml:space="preserve">Increasing the maximum UE transmit power is a straightforward way </w:t>
      </w:r>
      <w:r w:rsidR="00DA4961">
        <w:rPr>
          <w:lang w:val="en-GB" w:eastAsia="ja-JP"/>
        </w:rPr>
        <w:t xml:space="preserve">to improve </w:t>
      </w:r>
      <w:r w:rsidR="005454A7">
        <w:rPr>
          <w:lang w:val="en-GB" w:eastAsia="ja-JP"/>
        </w:rPr>
        <w:t xml:space="preserve">KPIs like coverage and maximum throughput. </w:t>
      </w:r>
      <w:r w:rsidR="00A91259">
        <w:rPr>
          <w:lang w:val="en-GB" w:eastAsia="ja-JP"/>
        </w:rPr>
        <w:t xml:space="preserve">This </w:t>
      </w:r>
      <w:r w:rsidR="003A3073">
        <w:rPr>
          <w:lang w:val="en-GB" w:eastAsia="ja-JP"/>
        </w:rPr>
        <w:t xml:space="preserve">would </w:t>
      </w:r>
      <w:r w:rsidR="00726A18">
        <w:rPr>
          <w:lang w:val="en-GB" w:eastAsia="ja-JP"/>
        </w:rPr>
        <w:t xml:space="preserve">allow to address </w:t>
      </w:r>
      <w:r w:rsidR="00120425">
        <w:rPr>
          <w:lang w:val="en-GB" w:eastAsia="ja-JP"/>
        </w:rPr>
        <w:t xml:space="preserve">for example automotive </w:t>
      </w:r>
      <w:r w:rsidR="00726A18">
        <w:rPr>
          <w:lang w:val="en-GB" w:eastAsia="ja-JP"/>
        </w:rPr>
        <w:t>use cases</w:t>
      </w:r>
      <w:r w:rsidR="00383860">
        <w:rPr>
          <w:lang w:val="en-GB" w:eastAsia="ja-JP"/>
        </w:rPr>
        <w:t xml:space="preserve">, </w:t>
      </w:r>
      <w:r w:rsidR="00121192">
        <w:rPr>
          <w:lang w:val="en-GB" w:eastAsia="ja-JP"/>
        </w:rPr>
        <w:t xml:space="preserve">which </w:t>
      </w:r>
      <w:r w:rsidR="00F02E3D">
        <w:rPr>
          <w:lang w:val="en-GB" w:eastAsia="ja-JP"/>
        </w:rPr>
        <w:t xml:space="preserve">could be </w:t>
      </w:r>
      <w:r w:rsidR="00F93FE9">
        <w:rPr>
          <w:lang w:val="en-GB" w:eastAsia="ja-JP"/>
        </w:rPr>
        <w:t xml:space="preserve">constrained </w:t>
      </w:r>
      <w:r w:rsidR="00D224B5">
        <w:rPr>
          <w:lang w:val="en-GB" w:eastAsia="ja-JP"/>
        </w:rPr>
        <w:t xml:space="preserve">by the </w:t>
      </w:r>
      <w:r w:rsidR="009D266A">
        <w:rPr>
          <w:lang w:val="en-GB" w:eastAsia="ja-JP"/>
        </w:rPr>
        <w:t xml:space="preserve">limited </w:t>
      </w:r>
      <w:r w:rsidR="00D224B5">
        <w:rPr>
          <w:lang w:val="en-GB" w:eastAsia="ja-JP"/>
        </w:rPr>
        <w:t xml:space="preserve">data rates achievable with </w:t>
      </w:r>
      <w:r w:rsidR="007B0985">
        <w:rPr>
          <w:lang w:val="en-GB" w:eastAsia="ja-JP"/>
        </w:rPr>
        <w:t>handheld devices</w:t>
      </w:r>
      <w:r w:rsidR="00E2202E">
        <w:rPr>
          <w:lang w:val="en-GB" w:eastAsia="ja-JP"/>
        </w:rPr>
        <w:t>.</w:t>
      </w:r>
      <w:r w:rsidR="006A7E81">
        <w:rPr>
          <w:lang w:val="en-GB" w:eastAsia="ja-JP"/>
        </w:rPr>
        <w:t xml:space="preserve"> To ensure </w:t>
      </w:r>
      <w:r w:rsidR="00E51009">
        <w:rPr>
          <w:lang w:val="en-GB" w:eastAsia="ja-JP"/>
        </w:rPr>
        <w:t>coexistence</w:t>
      </w:r>
      <w:r w:rsidR="00FC4F2A">
        <w:rPr>
          <w:lang w:val="en-GB" w:eastAsia="ja-JP"/>
        </w:rPr>
        <w:t xml:space="preserve"> </w:t>
      </w:r>
      <w:r w:rsidR="00644FA3">
        <w:rPr>
          <w:lang w:val="en-GB" w:eastAsia="ja-JP"/>
        </w:rPr>
        <w:t xml:space="preserve">with legacy devices, </w:t>
      </w:r>
      <w:r w:rsidR="00C015DA">
        <w:rPr>
          <w:lang w:val="en-GB" w:eastAsia="ja-JP"/>
        </w:rPr>
        <w:t xml:space="preserve">it is important to </w:t>
      </w:r>
      <w:r w:rsidR="000F5012">
        <w:rPr>
          <w:lang w:val="en-GB" w:eastAsia="ja-JP"/>
        </w:rPr>
        <w:t xml:space="preserve">update </w:t>
      </w:r>
      <w:r w:rsidR="002C2FBC">
        <w:rPr>
          <w:lang w:val="en-GB" w:eastAsia="ja-JP"/>
        </w:rPr>
        <w:t xml:space="preserve">the coexistence analyses </w:t>
      </w:r>
      <w:r w:rsidR="0037256A">
        <w:rPr>
          <w:lang w:val="en-GB" w:eastAsia="ja-JP"/>
        </w:rPr>
        <w:t xml:space="preserve">done </w:t>
      </w:r>
      <w:r w:rsidR="00AB2E49">
        <w:rPr>
          <w:lang w:val="en-GB" w:eastAsia="ja-JP"/>
        </w:rPr>
        <w:t>in Rel-17</w:t>
      </w:r>
      <w:r w:rsidR="00327B3A">
        <w:rPr>
          <w:lang w:val="en-GB" w:eastAsia="ja-JP"/>
        </w:rPr>
        <w:t>.</w:t>
      </w:r>
    </w:p>
    <w:p w14:paraId="0E88A0E4" w14:textId="04414FB0" w:rsidR="00235AC7" w:rsidRDefault="00984E39" w:rsidP="000C1A7B">
      <w:pPr>
        <w:pStyle w:val="Heading3"/>
      </w:pPr>
      <w:r>
        <w:t>Objectives</w:t>
      </w:r>
    </w:p>
    <w:p w14:paraId="20AD8AF8" w14:textId="028987B7" w:rsidR="00BA1066" w:rsidRDefault="00DD562E" w:rsidP="00B1754D">
      <w:pPr>
        <w:pStyle w:val="ListParagraph"/>
        <w:numPr>
          <w:ilvl w:val="0"/>
          <w:numId w:val="51"/>
        </w:numPr>
        <w:spacing w:after="160"/>
        <w:contextualSpacing/>
        <w:jc w:val="both"/>
        <w:rPr>
          <w:rFonts w:ascii="Arial" w:hAnsi="Arial" w:cs="Arial"/>
          <w:sz w:val="20"/>
          <w:szCs w:val="20"/>
          <w:bdr w:val="none" w:sz="0" w:space="0" w:color="auto" w:frame="1"/>
        </w:rPr>
      </w:pPr>
      <w:r w:rsidRPr="00B1754D">
        <w:rPr>
          <w:rFonts w:ascii="Arial" w:hAnsi="Arial" w:cs="Arial"/>
          <w:sz w:val="20"/>
          <w:szCs w:val="20"/>
          <w:bdr w:val="none" w:sz="0" w:space="0" w:color="auto" w:frame="1"/>
        </w:rPr>
        <w:t>Specify</w:t>
      </w:r>
      <w:r w:rsidR="00F95A27" w:rsidRPr="00B1754D">
        <w:rPr>
          <w:rFonts w:ascii="Arial" w:hAnsi="Arial" w:cs="Arial"/>
          <w:sz w:val="20"/>
          <w:szCs w:val="20"/>
          <w:bdr w:val="none" w:sz="0" w:space="0" w:color="auto" w:frame="1"/>
        </w:rPr>
        <w:t xml:space="preserve"> RF and RRM </w:t>
      </w:r>
      <w:r w:rsidR="001D61F2">
        <w:rPr>
          <w:rFonts w:ascii="Arial" w:hAnsi="Arial" w:cs="Arial"/>
          <w:sz w:val="20"/>
          <w:szCs w:val="20"/>
          <w:bdr w:val="none" w:sz="0" w:space="0" w:color="auto" w:frame="1"/>
          <w:lang w:val="en-US"/>
        </w:rPr>
        <w:t xml:space="preserve">parameters and </w:t>
      </w:r>
      <w:r w:rsidR="00F95A27" w:rsidRPr="00B1754D">
        <w:rPr>
          <w:rFonts w:ascii="Arial" w:hAnsi="Arial" w:cs="Arial"/>
          <w:sz w:val="20"/>
          <w:szCs w:val="20"/>
          <w:bdr w:val="none" w:sz="0" w:space="0" w:color="auto" w:frame="1"/>
        </w:rPr>
        <w:t xml:space="preserve">requirements for </w:t>
      </w:r>
      <w:r w:rsidR="0073157A" w:rsidRPr="00B1754D">
        <w:rPr>
          <w:rFonts w:ascii="Arial" w:hAnsi="Arial" w:cs="Arial"/>
          <w:sz w:val="20"/>
          <w:szCs w:val="20"/>
          <w:bdr w:val="none" w:sz="0" w:space="0" w:color="auto" w:frame="1"/>
        </w:rPr>
        <w:t xml:space="preserve">a new high-power UE </w:t>
      </w:r>
      <w:r w:rsidR="00530F77">
        <w:rPr>
          <w:rFonts w:ascii="Arial" w:hAnsi="Arial" w:cs="Arial"/>
          <w:sz w:val="20"/>
          <w:szCs w:val="20"/>
          <w:bdr w:val="none" w:sz="0" w:space="0" w:color="auto" w:frame="1"/>
          <w:lang w:val="en-US"/>
        </w:rPr>
        <w:t xml:space="preserve">for NTN </w:t>
      </w:r>
      <w:r w:rsidR="007D41E9" w:rsidRPr="00B1754D">
        <w:rPr>
          <w:rFonts w:ascii="Arial" w:hAnsi="Arial" w:cs="Arial"/>
          <w:sz w:val="20"/>
          <w:szCs w:val="20"/>
          <w:bdr w:val="none" w:sz="0" w:space="0" w:color="auto" w:frame="1"/>
        </w:rPr>
        <w:t xml:space="preserve">in </w:t>
      </w:r>
      <w:r w:rsidRPr="00B1754D">
        <w:rPr>
          <w:rFonts w:ascii="Arial" w:hAnsi="Arial" w:cs="Arial"/>
          <w:sz w:val="20"/>
          <w:szCs w:val="20"/>
          <w:bdr w:val="none" w:sz="0" w:space="0" w:color="auto" w:frame="1"/>
        </w:rPr>
        <w:t>exemplary FR1 bands</w:t>
      </w:r>
      <w:r w:rsidR="00B064FF" w:rsidRPr="00B1754D">
        <w:rPr>
          <w:rFonts w:ascii="Arial" w:hAnsi="Arial" w:cs="Arial"/>
          <w:sz w:val="20"/>
          <w:szCs w:val="20"/>
          <w:bdr w:val="none" w:sz="0" w:space="0" w:color="auto" w:frame="1"/>
        </w:rPr>
        <w:t>.</w:t>
      </w:r>
    </w:p>
    <w:p w14:paraId="09FEB56B" w14:textId="77777777" w:rsidR="008E1C93" w:rsidRPr="008E1C93" w:rsidRDefault="00B1754D">
      <w:pPr>
        <w:pStyle w:val="ListParagraph"/>
        <w:numPr>
          <w:ilvl w:val="0"/>
          <w:numId w:val="51"/>
        </w:numPr>
        <w:spacing w:after="160"/>
        <w:contextualSpacing/>
        <w:jc w:val="both"/>
        <w:rPr>
          <w:lang w:val="en-US" w:eastAsia="ja-JP"/>
        </w:rPr>
      </w:pPr>
      <w:r w:rsidRPr="008E1C93">
        <w:rPr>
          <w:rFonts w:ascii="Arial" w:hAnsi="Arial" w:cs="Arial"/>
          <w:sz w:val="20"/>
          <w:szCs w:val="20"/>
          <w:bdr w:val="none" w:sz="0" w:space="0" w:color="auto" w:frame="1"/>
          <w:lang w:val="en-US"/>
        </w:rPr>
        <w:t>At least consider PC</w:t>
      </w:r>
      <w:r w:rsidR="00F15471" w:rsidRPr="008E1C93">
        <w:rPr>
          <w:rFonts w:ascii="Arial" w:hAnsi="Arial" w:cs="Arial"/>
          <w:sz w:val="20"/>
          <w:szCs w:val="20"/>
          <w:bdr w:val="none" w:sz="0" w:space="0" w:color="auto" w:frame="1"/>
          <w:lang w:val="en-US"/>
        </w:rPr>
        <w:t>2 (26 dBm).</w:t>
      </w:r>
    </w:p>
    <w:p w14:paraId="19844B8B" w14:textId="2DCF9535" w:rsidR="008255EC" w:rsidRDefault="008255EC">
      <w:pPr>
        <w:pStyle w:val="ListParagraph"/>
        <w:numPr>
          <w:ilvl w:val="0"/>
          <w:numId w:val="51"/>
        </w:numPr>
        <w:spacing w:after="160"/>
        <w:contextualSpacing/>
        <w:jc w:val="both"/>
        <w:rPr>
          <w:rFonts w:ascii="Arial" w:hAnsi="Arial" w:cs="Arial"/>
          <w:sz w:val="20"/>
          <w:szCs w:val="20"/>
          <w:bdr w:val="none" w:sz="0" w:space="0" w:color="auto" w:frame="1"/>
          <w:lang w:val="en-US"/>
        </w:rPr>
      </w:pPr>
      <w:r w:rsidRPr="008E1C93">
        <w:rPr>
          <w:rFonts w:ascii="Arial" w:hAnsi="Arial" w:cs="Arial"/>
          <w:sz w:val="20"/>
          <w:szCs w:val="20"/>
          <w:bdr w:val="none" w:sz="0" w:space="0" w:color="auto" w:frame="1"/>
          <w:lang w:val="en-US"/>
        </w:rPr>
        <w:t xml:space="preserve">Update </w:t>
      </w:r>
      <w:r w:rsidR="008E1C93">
        <w:rPr>
          <w:rFonts w:ascii="Arial" w:hAnsi="Arial" w:cs="Arial"/>
          <w:sz w:val="20"/>
          <w:szCs w:val="20"/>
          <w:bdr w:val="none" w:sz="0" w:space="0" w:color="auto" w:frame="1"/>
          <w:lang w:val="en-US"/>
        </w:rPr>
        <w:t xml:space="preserve">the Rel-17 </w:t>
      </w:r>
      <w:r w:rsidRPr="008E1C93">
        <w:rPr>
          <w:rFonts w:ascii="Arial" w:hAnsi="Arial" w:cs="Arial"/>
          <w:sz w:val="20"/>
          <w:szCs w:val="20"/>
          <w:bdr w:val="none" w:sz="0" w:space="0" w:color="auto" w:frame="1"/>
          <w:lang w:val="en-US"/>
        </w:rPr>
        <w:t xml:space="preserve">coexistence analysis based on </w:t>
      </w:r>
      <w:r w:rsidR="008E1C93">
        <w:rPr>
          <w:rFonts w:ascii="Arial" w:hAnsi="Arial" w:cs="Arial"/>
          <w:sz w:val="20"/>
          <w:szCs w:val="20"/>
          <w:bdr w:val="none" w:sz="0" w:space="0" w:color="auto" w:frame="1"/>
          <w:lang w:val="en-US"/>
        </w:rPr>
        <w:t xml:space="preserve">the methodology defined in </w:t>
      </w:r>
      <w:r w:rsidRPr="008E1C93">
        <w:rPr>
          <w:rFonts w:ascii="Arial" w:hAnsi="Arial" w:cs="Arial"/>
          <w:sz w:val="20"/>
          <w:szCs w:val="20"/>
          <w:bdr w:val="none" w:sz="0" w:space="0" w:color="auto" w:frame="1"/>
          <w:lang w:val="en-US"/>
        </w:rPr>
        <w:t>TR 38.863</w:t>
      </w:r>
      <w:r w:rsidR="008E1C93">
        <w:rPr>
          <w:rFonts w:ascii="Arial" w:hAnsi="Arial" w:cs="Arial"/>
          <w:sz w:val="20"/>
          <w:szCs w:val="20"/>
          <w:bdr w:val="none" w:sz="0" w:space="0" w:color="auto" w:frame="1"/>
          <w:lang w:val="en-US"/>
        </w:rPr>
        <w:t>.</w:t>
      </w:r>
    </w:p>
    <w:p w14:paraId="1ED759AB" w14:textId="652FD143" w:rsidR="00984E39" w:rsidRDefault="0076714D" w:rsidP="0076714D">
      <w:pPr>
        <w:pStyle w:val="Heading2"/>
      </w:pPr>
      <w:r>
        <w:t xml:space="preserve">2.7 </w:t>
      </w:r>
      <w:r w:rsidR="00367731">
        <w:tab/>
      </w:r>
      <w:r>
        <w:t>TE-</w:t>
      </w:r>
      <w:r w:rsidR="009D2C10">
        <w:t>e</w:t>
      </w:r>
      <w:r>
        <w:t xml:space="preserve">mulated </w:t>
      </w:r>
      <w:r w:rsidR="009D2C10">
        <w:t>C</w:t>
      </w:r>
      <w:r>
        <w:t xml:space="preserve">hannel </w:t>
      </w:r>
      <w:r w:rsidR="009D2C10">
        <w:t>M</w:t>
      </w:r>
      <w:r>
        <w:t>odel</w:t>
      </w:r>
    </w:p>
    <w:p w14:paraId="493CD4E3" w14:textId="6EAC07B3" w:rsidR="00990317" w:rsidRDefault="002959F4" w:rsidP="00990317">
      <w:r>
        <w:rPr>
          <w:lang w:val="en-GB" w:eastAsia="ja-JP"/>
        </w:rPr>
        <w:t xml:space="preserve">An (NGSO) satellite channel varies over time with the movement of the satellite. The UE needs to </w:t>
      </w:r>
      <w:r w:rsidR="00AC446D">
        <w:rPr>
          <w:lang w:val="en-GB" w:eastAsia="ja-JP"/>
        </w:rPr>
        <w:t xml:space="preserve">continuously </w:t>
      </w:r>
      <w:r w:rsidR="007F4015">
        <w:rPr>
          <w:lang w:val="en-GB" w:eastAsia="ja-JP"/>
        </w:rPr>
        <w:t xml:space="preserve">adapt its pre-compensation according to the satellite movement. </w:t>
      </w:r>
      <w:r w:rsidR="00737801">
        <w:rPr>
          <w:lang w:val="en-GB" w:eastAsia="ja-JP"/>
        </w:rPr>
        <w:t>I</w:t>
      </w:r>
      <w:r w:rsidR="00F804AD">
        <w:rPr>
          <w:lang w:val="en-GB" w:eastAsia="ja-JP"/>
        </w:rPr>
        <w:t xml:space="preserve">n Rel-17/18, </w:t>
      </w:r>
      <w:r w:rsidR="00737801">
        <w:rPr>
          <w:lang w:val="en-GB" w:eastAsia="ja-JP"/>
        </w:rPr>
        <w:t xml:space="preserve">however, </w:t>
      </w:r>
      <w:r w:rsidR="00990317">
        <w:t xml:space="preserve">only constant doppler and delay compensation is tested. </w:t>
      </w:r>
      <w:r w:rsidR="005F31A5">
        <w:t>According to RAN4 agreements, a</w:t>
      </w:r>
      <w:r w:rsidR="00737801">
        <w:t xml:space="preserve"> </w:t>
      </w:r>
      <w:r w:rsidR="00990317">
        <w:t>UE will set the pre-compensated doppler frequency/delay calculated with ephemeris date in SIB19</w:t>
      </w:r>
      <w:r w:rsidR="001B3C06">
        <w:t xml:space="preserve"> </w:t>
      </w:r>
      <w:r w:rsidR="00990317">
        <w:t xml:space="preserve">and </w:t>
      </w:r>
      <w:r w:rsidR="00354416">
        <w:t xml:space="preserve">the </w:t>
      </w:r>
      <w:r w:rsidR="00990317">
        <w:t>TE will broadcast the same SIB19</w:t>
      </w:r>
      <w:r w:rsidR="001B3C06">
        <w:t xml:space="preserve"> </w:t>
      </w:r>
      <w:r w:rsidR="00990317">
        <w:t>during the test.</w:t>
      </w:r>
      <w:r w:rsidR="001B3C06">
        <w:t xml:space="preserve"> </w:t>
      </w:r>
    </w:p>
    <w:p w14:paraId="3A5BA83D" w14:textId="4B58DBAF" w:rsidR="00990317" w:rsidRDefault="00990317" w:rsidP="00D470C6">
      <w:r>
        <w:t xml:space="preserve">UE will not be tested with as stated in 38.300. This means </w:t>
      </w:r>
      <w:r w:rsidR="00CA194E">
        <w:t>that the continuous frequency</w:t>
      </w:r>
      <w:r w:rsidR="001E2879">
        <w:t xml:space="preserve"> and delay</w:t>
      </w:r>
      <w:r w:rsidR="00CA194E">
        <w:t xml:space="preserve"> compensation </w:t>
      </w:r>
      <w:r w:rsidR="001E2879">
        <w:t xml:space="preserve">is not at all tested, and </w:t>
      </w:r>
      <w:r>
        <w:t xml:space="preserve">UE pre-compensation behavior may not be </w:t>
      </w:r>
      <w:r w:rsidR="00B733E4">
        <w:t xml:space="preserve">as </w:t>
      </w:r>
      <w:r>
        <w:t xml:space="preserve">expected when deployed in </w:t>
      </w:r>
      <w:r w:rsidR="00B733E4">
        <w:t xml:space="preserve">a real </w:t>
      </w:r>
      <w:r>
        <w:t xml:space="preserve">network. </w:t>
      </w:r>
      <w:r w:rsidR="005E599A">
        <w:t xml:space="preserve">UEs may have difficulties to meet requirements for </w:t>
      </w:r>
      <w:r w:rsidR="003D6D13">
        <w:t xml:space="preserve">features like </w:t>
      </w:r>
      <w:r w:rsidR="005E599A">
        <w:t>DMRS bundling, but this cannot be tested</w:t>
      </w:r>
      <w:r w:rsidR="00DB3CF3">
        <w:t xml:space="preserve"> currently</w:t>
      </w:r>
      <w:r w:rsidR="003D6D13">
        <w:t xml:space="preserve">. </w:t>
      </w:r>
      <w:r w:rsidR="008431A5">
        <w:t xml:space="preserve">This might have implications </w:t>
      </w:r>
      <w:r w:rsidR="00793FB9">
        <w:t xml:space="preserve">for </w:t>
      </w:r>
      <w:r w:rsidR="00112095">
        <w:t xml:space="preserve">the </w:t>
      </w:r>
      <w:r w:rsidR="006E3CB3">
        <w:t xml:space="preserve">NW’s </w:t>
      </w:r>
      <w:r w:rsidR="00F623E5">
        <w:t xml:space="preserve">ability to use </w:t>
      </w:r>
      <w:r w:rsidR="003D6D13">
        <w:t xml:space="preserve">such </w:t>
      </w:r>
      <w:r w:rsidR="007325CD">
        <w:t>features</w:t>
      </w:r>
      <w:r w:rsidR="003D6D13">
        <w:t xml:space="preserve">. </w:t>
      </w:r>
      <w:r w:rsidR="008431A5">
        <w:t>To remedy</w:t>
      </w:r>
      <w:r w:rsidR="00D470C6">
        <w:t xml:space="preserve"> this, Rel-19 should </w:t>
      </w:r>
      <w:r>
        <w:t xml:space="preserve">introduce </w:t>
      </w:r>
      <w:r w:rsidR="00836524">
        <w:t>a TE-</w:t>
      </w:r>
      <w:r>
        <w:t>emulated satellite channel</w:t>
      </w:r>
      <w:r w:rsidR="00836524">
        <w:t xml:space="preserve">, based on a realistic satellite </w:t>
      </w:r>
      <w:r>
        <w:t>trajectory</w:t>
      </w:r>
      <w:r w:rsidR="00DF45A0">
        <w:t>,</w:t>
      </w:r>
      <w:r>
        <w:t xml:space="preserve"> creat</w:t>
      </w:r>
      <w:r w:rsidR="006802A7">
        <w:t>ing</w:t>
      </w:r>
      <w:r>
        <w:t xml:space="preserve"> </w:t>
      </w:r>
      <w:r w:rsidR="006802A7">
        <w:t xml:space="preserve">a </w:t>
      </w:r>
      <w:r>
        <w:t xml:space="preserve">similar channel as in </w:t>
      </w:r>
      <w:r w:rsidR="006802A7">
        <w:t xml:space="preserve">an operating </w:t>
      </w:r>
      <w:r>
        <w:t>network</w:t>
      </w:r>
      <w:r w:rsidR="006802A7">
        <w:t xml:space="preserve">. </w:t>
      </w:r>
    </w:p>
    <w:p w14:paraId="2C324596" w14:textId="0599C106" w:rsidR="0064362C" w:rsidRDefault="0064362C" w:rsidP="0064362C">
      <w:pPr>
        <w:pStyle w:val="Heading3"/>
      </w:pPr>
      <w:r>
        <w:t>Objectives</w:t>
      </w:r>
    </w:p>
    <w:p w14:paraId="2243C821" w14:textId="2209EE8F" w:rsidR="00AD3BFE" w:rsidRPr="00AD3BFE" w:rsidRDefault="00AD3BFE" w:rsidP="00DD6A90">
      <w:pPr>
        <w:pStyle w:val="ListParagraph"/>
        <w:numPr>
          <w:ilvl w:val="0"/>
          <w:numId w:val="51"/>
        </w:numPr>
        <w:spacing w:after="160"/>
        <w:contextualSpacing/>
        <w:jc w:val="both"/>
        <w:rPr>
          <w:rFonts w:ascii="Arial" w:hAnsi="Arial" w:cs="Arial"/>
          <w:sz w:val="20"/>
          <w:szCs w:val="20"/>
          <w:bdr w:val="none" w:sz="0" w:space="0" w:color="auto" w:frame="1"/>
          <w:lang w:val="en-US"/>
        </w:rPr>
      </w:pPr>
      <w:r w:rsidRPr="00AD3BFE">
        <w:rPr>
          <w:rFonts w:ascii="Arial" w:hAnsi="Arial" w:cs="Arial"/>
          <w:sz w:val="20"/>
          <w:szCs w:val="20"/>
          <w:bdr w:val="none" w:sz="0" w:space="0" w:color="auto" w:frame="1"/>
          <w:lang w:val="en-US"/>
        </w:rPr>
        <w:t>Introduc</w:t>
      </w:r>
      <w:r>
        <w:rPr>
          <w:rFonts w:ascii="Arial" w:hAnsi="Arial" w:cs="Arial"/>
          <w:sz w:val="20"/>
          <w:szCs w:val="20"/>
          <w:bdr w:val="none" w:sz="0" w:space="0" w:color="auto" w:frame="1"/>
          <w:lang w:val="en-US"/>
        </w:rPr>
        <w:t xml:space="preserve">e an </w:t>
      </w:r>
      <w:r w:rsidRPr="00AD3BFE">
        <w:rPr>
          <w:rFonts w:ascii="Arial" w:hAnsi="Arial" w:cs="Arial"/>
          <w:sz w:val="20"/>
          <w:szCs w:val="20"/>
          <w:bdr w:val="none" w:sz="0" w:space="0" w:color="auto" w:frame="1"/>
          <w:lang w:val="en-US"/>
        </w:rPr>
        <w:t xml:space="preserve">emulated satellite channel </w:t>
      </w:r>
      <w:r w:rsidR="00F45FD2">
        <w:rPr>
          <w:rFonts w:ascii="Arial" w:hAnsi="Arial" w:cs="Arial"/>
          <w:sz w:val="20"/>
          <w:szCs w:val="20"/>
          <w:bdr w:val="none" w:sz="0" w:space="0" w:color="auto" w:frame="1"/>
          <w:lang w:val="en-US"/>
        </w:rPr>
        <w:t xml:space="preserve">with </w:t>
      </w:r>
      <w:r w:rsidRPr="00AD3BFE">
        <w:rPr>
          <w:rFonts w:ascii="Arial" w:hAnsi="Arial" w:cs="Arial"/>
          <w:sz w:val="20"/>
          <w:szCs w:val="20"/>
          <w:bdr w:val="none" w:sz="0" w:space="0" w:color="auto" w:frame="1"/>
          <w:lang w:val="en-US"/>
        </w:rPr>
        <w:t>variable delay and variable doppler frequency</w:t>
      </w:r>
      <w:r w:rsidR="00363649">
        <w:rPr>
          <w:rFonts w:ascii="Arial" w:hAnsi="Arial" w:cs="Arial"/>
          <w:sz w:val="20"/>
          <w:szCs w:val="20"/>
          <w:bdr w:val="none" w:sz="0" w:space="0" w:color="auto" w:frame="1"/>
          <w:lang w:val="en-US"/>
        </w:rPr>
        <w:t xml:space="preserve"> for UE testing</w:t>
      </w:r>
      <w:r w:rsidRPr="00AD3BFE">
        <w:rPr>
          <w:rFonts w:ascii="Arial" w:hAnsi="Arial" w:cs="Arial"/>
          <w:sz w:val="20"/>
          <w:szCs w:val="20"/>
          <w:bdr w:val="none" w:sz="0" w:space="0" w:color="auto" w:frame="1"/>
          <w:lang w:val="en-US"/>
        </w:rPr>
        <w:t>.</w:t>
      </w:r>
    </w:p>
    <w:p w14:paraId="1D615E7A" w14:textId="005E9154" w:rsidR="00AD3BFE" w:rsidRPr="00AD3BFE" w:rsidRDefault="00AD3BFE" w:rsidP="00DD6A90">
      <w:pPr>
        <w:pStyle w:val="ListParagraph"/>
        <w:numPr>
          <w:ilvl w:val="0"/>
          <w:numId w:val="51"/>
        </w:numPr>
        <w:spacing w:after="160"/>
        <w:contextualSpacing/>
        <w:jc w:val="both"/>
        <w:rPr>
          <w:rFonts w:cs="Arial"/>
          <w:szCs w:val="20"/>
          <w:bdr w:val="none" w:sz="0" w:space="0" w:color="auto" w:frame="1"/>
        </w:rPr>
      </w:pPr>
      <w:r w:rsidRPr="00AD3BFE">
        <w:rPr>
          <w:rFonts w:ascii="Arial" w:hAnsi="Arial" w:cs="Arial"/>
          <w:sz w:val="20"/>
          <w:szCs w:val="20"/>
          <w:bdr w:val="none" w:sz="0" w:space="0" w:color="auto" w:frame="1"/>
          <w:lang w:val="en-US"/>
        </w:rPr>
        <w:t>Specify</w:t>
      </w:r>
      <w:r w:rsidR="00085EF7">
        <w:rPr>
          <w:rFonts w:ascii="Arial" w:hAnsi="Arial" w:cs="Arial"/>
          <w:sz w:val="20"/>
          <w:szCs w:val="20"/>
          <w:bdr w:val="none" w:sz="0" w:space="0" w:color="auto" w:frame="1"/>
          <w:lang w:val="en-US"/>
        </w:rPr>
        <w:t xml:space="preserve"> </w:t>
      </w:r>
      <w:r w:rsidRPr="00AD3BFE">
        <w:rPr>
          <w:rFonts w:ascii="Arial" w:hAnsi="Arial" w:cs="Arial"/>
          <w:sz w:val="20"/>
          <w:szCs w:val="20"/>
          <w:bdr w:val="none" w:sz="0" w:space="0" w:color="auto" w:frame="1"/>
          <w:lang w:val="en-US"/>
        </w:rPr>
        <w:t>enhanced test condition</w:t>
      </w:r>
      <w:r w:rsidR="00085EF7">
        <w:rPr>
          <w:rFonts w:ascii="Arial" w:hAnsi="Arial" w:cs="Arial"/>
          <w:sz w:val="20"/>
          <w:szCs w:val="20"/>
          <w:bdr w:val="none" w:sz="0" w:space="0" w:color="auto" w:frame="1"/>
          <w:lang w:val="en-US"/>
        </w:rPr>
        <w:t>s</w:t>
      </w:r>
      <w:r w:rsidRPr="00AD3BFE">
        <w:rPr>
          <w:rFonts w:ascii="Arial" w:hAnsi="Arial" w:cs="Arial"/>
          <w:sz w:val="20"/>
          <w:szCs w:val="20"/>
          <w:bdr w:val="none" w:sz="0" w:space="0" w:color="auto" w:frame="1"/>
          <w:lang w:val="en-US"/>
        </w:rPr>
        <w:t xml:space="preserve"> </w:t>
      </w:r>
      <w:r w:rsidR="003548B2">
        <w:rPr>
          <w:rFonts w:ascii="Arial" w:hAnsi="Arial" w:cs="Arial"/>
          <w:sz w:val="20"/>
          <w:szCs w:val="20"/>
          <w:bdr w:val="none" w:sz="0" w:space="0" w:color="auto" w:frame="1"/>
          <w:lang w:val="en-US"/>
        </w:rPr>
        <w:t xml:space="preserve">at least </w:t>
      </w:r>
      <w:r w:rsidRPr="00AD3BFE">
        <w:rPr>
          <w:rFonts w:ascii="Arial" w:hAnsi="Arial" w:cs="Arial"/>
          <w:sz w:val="20"/>
          <w:szCs w:val="20"/>
          <w:bdr w:val="none" w:sz="0" w:space="0" w:color="auto" w:frame="1"/>
          <w:lang w:val="en-US"/>
        </w:rPr>
        <w:t xml:space="preserve">for </w:t>
      </w:r>
      <w:r w:rsidR="007223EB">
        <w:rPr>
          <w:rFonts w:ascii="Arial" w:hAnsi="Arial" w:cs="Arial"/>
          <w:sz w:val="20"/>
          <w:szCs w:val="20"/>
          <w:bdr w:val="none" w:sz="0" w:space="0" w:color="auto" w:frame="1"/>
          <w:lang w:val="en-US"/>
        </w:rPr>
        <w:t>the requirem</w:t>
      </w:r>
      <w:r w:rsidR="0021154D">
        <w:rPr>
          <w:rFonts w:ascii="Arial" w:hAnsi="Arial" w:cs="Arial"/>
          <w:sz w:val="20"/>
          <w:szCs w:val="20"/>
          <w:bdr w:val="none" w:sz="0" w:space="0" w:color="auto" w:frame="1"/>
          <w:lang w:val="en-US"/>
        </w:rPr>
        <w:t>en</w:t>
      </w:r>
      <w:r w:rsidR="007223EB">
        <w:rPr>
          <w:rFonts w:ascii="Arial" w:hAnsi="Arial" w:cs="Arial"/>
          <w:sz w:val="20"/>
          <w:szCs w:val="20"/>
          <w:bdr w:val="none" w:sz="0" w:space="0" w:color="auto" w:frame="1"/>
          <w:lang w:val="en-US"/>
        </w:rPr>
        <w:t xml:space="preserve">ts </w:t>
      </w:r>
      <w:r w:rsidR="009A513B">
        <w:rPr>
          <w:rFonts w:ascii="Arial" w:hAnsi="Arial" w:cs="Arial"/>
          <w:sz w:val="20"/>
          <w:szCs w:val="20"/>
          <w:bdr w:val="none" w:sz="0" w:space="0" w:color="auto" w:frame="1"/>
          <w:lang w:val="en-US"/>
        </w:rPr>
        <w:t xml:space="preserve">on </w:t>
      </w:r>
      <w:r w:rsidRPr="00AD3BFE">
        <w:rPr>
          <w:rFonts w:ascii="Arial" w:hAnsi="Arial" w:cs="Arial"/>
          <w:sz w:val="20"/>
          <w:szCs w:val="20"/>
          <w:bdr w:val="none" w:sz="0" w:space="0" w:color="auto" w:frame="1"/>
          <w:lang w:val="en-US"/>
        </w:rPr>
        <w:t>RF frequency error and DMRS bundling for NGSO.</w:t>
      </w:r>
    </w:p>
    <w:p w14:paraId="5137C0F8" w14:textId="7CAAA47D" w:rsidR="00C01F33" w:rsidRPr="00CE0424" w:rsidRDefault="00C01F33" w:rsidP="00CE0424">
      <w:pPr>
        <w:pStyle w:val="Heading1"/>
      </w:pPr>
      <w:r w:rsidRPr="00CE0424">
        <w:lastRenderedPageBreak/>
        <w:t>Conclusion</w:t>
      </w:r>
    </w:p>
    <w:p w14:paraId="6225A1B8" w14:textId="31A6A4D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00022A44">
        <w:t>,</w:t>
      </w:r>
      <w:r w:rsidRPr="00CE0424">
        <w:t xml:space="preserve"> we propose the following</w:t>
      </w:r>
      <w:r w:rsidR="00FF0129">
        <w:t xml:space="preserve"> </w:t>
      </w:r>
      <w:r w:rsidR="00367731">
        <w:t>objectives for</w:t>
      </w:r>
      <w:r w:rsidR="00FF0129">
        <w:t xml:space="preserve"> </w:t>
      </w:r>
      <w:r w:rsidR="00C02986">
        <w:t>a</w:t>
      </w:r>
      <w:r w:rsidR="00FF0129">
        <w:t xml:space="preserve"> Rel</w:t>
      </w:r>
      <w:r w:rsidR="00C02986">
        <w:t>-</w:t>
      </w:r>
      <w:r w:rsidR="00FF0129">
        <w:t xml:space="preserve">19 </w:t>
      </w:r>
      <w:r w:rsidR="00F30DFC">
        <w:t xml:space="preserve">WI on further </w:t>
      </w:r>
      <w:r w:rsidR="00EB1AE6">
        <w:t xml:space="preserve">evolution of </w:t>
      </w:r>
      <w:r w:rsidR="00FF0129">
        <w:t>NR NTN</w:t>
      </w:r>
      <w:r w:rsidRPr="00CE0424">
        <w:t>:</w:t>
      </w:r>
    </w:p>
    <w:p w14:paraId="1CA073D7" w14:textId="45753EFF" w:rsidR="00EE5C24" w:rsidRDefault="00EE5C24" w:rsidP="00EE5C24">
      <w:pPr>
        <w:pStyle w:val="Heading3"/>
      </w:pPr>
      <w:r>
        <w:t>DL Coverage Enhancements</w:t>
      </w:r>
    </w:p>
    <w:p w14:paraId="5288B9C6" w14:textId="77777777" w:rsidR="00EE5C24" w:rsidRPr="003331D2" w:rsidRDefault="00EE5C24" w:rsidP="00EE5C24">
      <w:pPr>
        <w:tabs>
          <w:tab w:val="num" w:pos="720"/>
        </w:tabs>
        <w:jc w:val="both"/>
        <w:rPr>
          <w:rFonts w:cs="Arial"/>
          <w:szCs w:val="20"/>
        </w:rPr>
      </w:pPr>
      <w:r w:rsidRPr="003331D2">
        <w:rPr>
          <w:rFonts w:cs="Arial"/>
          <w:szCs w:val="20"/>
        </w:rPr>
        <w:t>The following two</w:t>
      </w:r>
      <w:r>
        <w:rPr>
          <w:rFonts w:cs="Arial"/>
          <w:szCs w:val="20"/>
        </w:rPr>
        <w:t>-</w:t>
      </w:r>
      <w:r w:rsidRPr="003331D2">
        <w:rPr>
          <w:rFonts w:cs="Arial"/>
          <w:szCs w:val="20"/>
        </w:rPr>
        <w:t>step approach should be considered</w:t>
      </w:r>
      <w:r>
        <w:rPr>
          <w:rFonts w:cs="Arial"/>
          <w:szCs w:val="20"/>
        </w:rPr>
        <w:t>:</w:t>
      </w:r>
    </w:p>
    <w:p w14:paraId="624BC362" w14:textId="77777777" w:rsidR="00EE5C24" w:rsidRPr="00346E0B" w:rsidRDefault="00EE5C24" w:rsidP="00EE5C24">
      <w:pPr>
        <w:pStyle w:val="ListParagraph"/>
        <w:numPr>
          <w:ilvl w:val="0"/>
          <w:numId w:val="51"/>
        </w:numPr>
        <w:spacing w:after="160"/>
        <w:contextualSpacing/>
        <w:jc w:val="both"/>
        <w:rPr>
          <w:rFonts w:ascii="Arial" w:hAnsi="Arial" w:cs="Arial"/>
          <w:sz w:val="20"/>
          <w:szCs w:val="20"/>
        </w:rPr>
      </w:pPr>
      <w:r w:rsidRPr="00346E0B">
        <w:rPr>
          <w:rFonts w:ascii="Arial" w:hAnsi="Arial" w:cs="Arial"/>
          <w:sz w:val="20"/>
          <w:szCs w:val="20"/>
        </w:rPr>
        <w:t xml:space="preserve">Study phase: </w:t>
      </w:r>
    </w:p>
    <w:p w14:paraId="0F937A5E" w14:textId="77777777" w:rsidR="00EE5C24" w:rsidRPr="00346E0B" w:rsidRDefault="00EE5C24" w:rsidP="00EE5C24">
      <w:pPr>
        <w:pStyle w:val="ListParagraph"/>
        <w:numPr>
          <w:ilvl w:val="1"/>
          <w:numId w:val="51"/>
        </w:numPr>
        <w:spacing w:after="160"/>
        <w:contextualSpacing/>
        <w:jc w:val="both"/>
        <w:rPr>
          <w:rFonts w:ascii="Arial" w:hAnsi="Arial" w:cs="Arial"/>
          <w:sz w:val="20"/>
          <w:szCs w:val="20"/>
        </w:rPr>
      </w:pPr>
      <w:r w:rsidRPr="003F0EFA">
        <w:rPr>
          <w:rFonts w:ascii="Arial" w:hAnsi="Arial" w:cs="Arial"/>
          <w:sz w:val="20"/>
          <w:szCs w:val="20"/>
          <w:lang w:val="en-US"/>
        </w:rPr>
        <w:t>Identify/prioriti</w:t>
      </w:r>
      <w:r>
        <w:rPr>
          <w:rFonts w:ascii="Arial" w:hAnsi="Arial" w:cs="Arial"/>
          <w:sz w:val="20"/>
          <w:szCs w:val="20"/>
          <w:lang w:val="en-US"/>
        </w:rPr>
        <w:t>z</w:t>
      </w:r>
      <w:r w:rsidRPr="003F0EFA">
        <w:rPr>
          <w:rFonts w:ascii="Arial" w:hAnsi="Arial" w:cs="Arial"/>
          <w:sz w:val="20"/>
          <w:szCs w:val="20"/>
          <w:lang w:val="en-US"/>
        </w:rPr>
        <w:t>e which physical channels need to be enhanced</w:t>
      </w:r>
      <w:r>
        <w:rPr>
          <w:rFonts w:ascii="Arial" w:hAnsi="Arial" w:cs="Arial"/>
          <w:sz w:val="20"/>
          <w:szCs w:val="20"/>
          <w:lang w:val="en-US"/>
        </w:rPr>
        <w:t>.</w:t>
      </w:r>
    </w:p>
    <w:p w14:paraId="27CA33FA" w14:textId="77777777" w:rsidR="00EE5C24" w:rsidRPr="00346E0B" w:rsidRDefault="00EE5C24" w:rsidP="00EE5C24">
      <w:pPr>
        <w:pStyle w:val="ListParagraph"/>
        <w:numPr>
          <w:ilvl w:val="1"/>
          <w:numId w:val="51"/>
        </w:numPr>
        <w:spacing w:after="160"/>
        <w:contextualSpacing/>
        <w:jc w:val="both"/>
        <w:rPr>
          <w:rFonts w:ascii="Arial" w:hAnsi="Arial" w:cs="Arial"/>
          <w:sz w:val="20"/>
          <w:szCs w:val="20"/>
        </w:rPr>
      </w:pPr>
      <w:r w:rsidRPr="003F0EFA">
        <w:rPr>
          <w:rFonts w:ascii="Arial" w:hAnsi="Arial" w:cs="Arial"/>
          <w:sz w:val="20"/>
          <w:szCs w:val="20"/>
          <w:lang w:val="en-US"/>
        </w:rPr>
        <w:t>Identify potential solutions</w:t>
      </w:r>
      <w:r>
        <w:rPr>
          <w:rFonts w:ascii="Arial" w:hAnsi="Arial" w:cs="Arial"/>
          <w:sz w:val="20"/>
          <w:szCs w:val="20"/>
          <w:lang w:val="en-US"/>
        </w:rPr>
        <w:t xml:space="preserve">, </w:t>
      </w:r>
      <w:r w:rsidRPr="0050563F">
        <w:rPr>
          <w:rFonts w:ascii="Arial" w:hAnsi="Arial" w:cs="Arial"/>
          <w:sz w:val="20"/>
          <w:szCs w:val="20"/>
          <w:lang w:val="en-US"/>
        </w:rPr>
        <w:t>prioritizing enhancements of spectral efficiency</w:t>
      </w:r>
      <w:r>
        <w:rPr>
          <w:rFonts w:ascii="Arial" w:hAnsi="Arial" w:cs="Arial"/>
          <w:sz w:val="20"/>
          <w:szCs w:val="20"/>
          <w:lang w:val="en-US"/>
        </w:rPr>
        <w:t xml:space="preserve"> over </w:t>
      </w:r>
      <w:r w:rsidRPr="0050563F">
        <w:rPr>
          <w:rFonts w:ascii="Arial" w:hAnsi="Arial" w:cs="Arial"/>
          <w:sz w:val="20"/>
          <w:szCs w:val="20"/>
          <w:lang w:val="en-US"/>
        </w:rPr>
        <w:t>enhancements that increase the DL activity factor on system level</w:t>
      </w:r>
      <w:r>
        <w:rPr>
          <w:rFonts w:ascii="Arial" w:hAnsi="Arial" w:cs="Arial"/>
          <w:sz w:val="20"/>
          <w:szCs w:val="20"/>
          <w:lang w:val="en-US"/>
        </w:rPr>
        <w:t>.</w:t>
      </w:r>
    </w:p>
    <w:p w14:paraId="1338D0C5" w14:textId="77777777" w:rsidR="00EE5C24" w:rsidRPr="00CF622B" w:rsidRDefault="00EE5C24" w:rsidP="00EE5C24">
      <w:pPr>
        <w:pStyle w:val="ListParagraph"/>
        <w:numPr>
          <w:ilvl w:val="0"/>
          <w:numId w:val="51"/>
        </w:numPr>
        <w:spacing w:after="160"/>
        <w:contextualSpacing/>
        <w:jc w:val="both"/>
        <w:rPr>
          <w:rFonts w:ascii="Arial" w:hAnsi="Arial" w:cs="Arial"/>
          <w:sz w:val="20"/>
          <w:szCs w:val="20"/>
        </w:rPr>
      </w:pPr>
      <w:r w:rsidRPr="00CF622B">
        <w:rPr>
          <w:rFonts w:ascii="Arial" w:hAnsi="Arial" w:cs="Arial"/>
          <w:sz w:val="20"/>
          <w:szCs w:val="20"/>
        </w:rPr>
        <w:t>Normative phase:</w:t>
      </w:r>
    </w:p>
    <w:p w14:paraId="6D29FD9B" w14:textId="6E59A016" w:rsidR="00EE5C24" w:rsidRPr="00367731" w:rsidRDefault="00EE5C24" w:rsidP="00367731">
      <w:pPr>
        <w:pStyle w:val="ListParagraph"/>
        <w:numPr>
          <w:ilvl w:val="1"/>
          <w:numId w:val="51"/>
        </w:numPr>
        <w:spacing w:after="160"/>
        <w:contextualSpacing/>
        <w:jc w:val="both"/>
        <w:rPr>
          <w:rFonts w:ascii="Arial" w:hAnsi="Arial" w:cs="Arial"/>
          <w:sz w:val="20"/>
          <w:szCs w:val="20"/>
          <w:lang w:val="en-US"/>
        </w:rPr>
      </w:pPr>
      <w:r>
        <w:rPr>
          <w:rFonts w:ascii="Arial" w:hAnsi="Arial" w:cs="Arial"/>
          <w:sz w:val="20"/>
          <w:szCs w:val="20"/>
          <w:lang w:val="en-US"/>
        </w:rPr>
        <w:t>If found beneficial, d</w:t>
      </w:r>
      <w:r w:rsidRPr="00CF622B">
        <w:rPr>
          <w:rFonts w:ascii="Arial" w:hAnsi="Arial" w:cs="Arial"/>
          <w:sz w:val="20"/>
          <w:szCs w:val="20"/>
          <w:lang w:val="en-US"/>
        </w:rPr>
        <w:t>efine enhancements </w:t>
      </w:r>
      <w:r>
        <w:rPr>
          <w:rFonts w:ascii="Arial" w:hAnsi="Arial" w:cs="Arial"/>
          <w:sz w:val="20"/>
          <w:szCs w:val="20"/>
          <w:lang w:val="en-US"/>
        </w:rPr>
        <w:t>according to the findings of the study phase.</w:t>
      </w:r>
    </w:p>
    <w:p w14:paraId="187300E9" w14:textId="756BB499" w:rsidR="00EE5C24" w:rsidRDefault="00EE5C24" w:rsidP="00EE5C24">
      <w:pPr>
        <w:pStyle w:val="Heading3"/>
      </w:pPr>
      <w:r>
        <w:t>Robust Notification/Alert Channel</w:t>
      </w:r>
    </w:p>
    <w:p w14:paraId="0EF6ABB0" w14:textId="77777777" w:rsidR="00EE5C24" w:rsidRPr="003331D2" w:rsidRDefault="00EE5C24" w:rsidP="00EE5C24">
      <w:pPr>
        <w:contextualSpacing/>
        <w:jc w:val="both"/>
        <w:rPr>
          <w:rFonts w:cs="Arial"/>
          <w:szCs w:val="20"/>
        </w:rPr>
      </w:pPr>
      <w:r w:rsidRPr="003D7673">
        <w:rPr>
          <w:rFonts w:cs="Arial"/>
          <w:szCs w:val="20"/>
        </w:rPr>
        <w:t>Improving SSB coverage is out of scope of this objective.</w:t>
      </w:r>
      <w:r>
        <w:rPr>
          <w:rFonts w:cs="Arial"/>
          <w:szCs w:val="20"/>
        </w:rPr>
        <w:t xml:space="preserve"> </w:t>
      </w:r>
      <w:r w:rsidRPr="00603A9F">
        <w:rPr>
          <w:rFonts w:cs="Arial"/>
          <w:szCs w:val="20"/>
        </w:rPr>
        <w:t>Coverage of a potential new notification/alert channel should not go beyond legacy SSB coverage.</w:t>
      </w:r>
      <w:r>
        <w:rPr>
          <w:rFonts w:cs="Arial"/>
          <w:szCs w:val="20"/>
        </w:rPr>
        <w:t xml:space="preserve"> </w:t>
      </w:r>
      <w:r w:rsidRPr="003331D2">
        <w:rPr>
          <w:rFonts w:cs="Arial"/>
          <w:szCs w:val="20"/>
        </w:rPr>
        <w:t>The following two</w:t>
      </w:r>
      <w:r>
        <w:rPr>
          <w:rFonts w:cs="Arial"/>
          <w:szCs w:val="20"/>
        </w:rPr>
        <w:t>-</w:t>
      </w:r>
      <w:r w:rsidRPr="003331D2">
        <w:rPr>
          <w:rFonts w:cs="Arial"/>
          <w:szCs w:val="20"/>
        </w:rPr>
        <w:t>step approach should be considered</w:t>
      </w:r>
      <w:r>
        <w:rPr>
          <w:rFonts w:cs="Arial"/>
          <w:szCs w:val="20"/>
        </w:rPr>
        <w:t>:</w:t>
      </w:r>
    </w:p>
    <w:p w14:paraId="28252587" w14:textId="77777777" w:rsidR="00EE5C24" w:rsidRPr="003F0EFA" w:rsidRDefault="00EE5C24" w:rsidP="00EE5C24">
      <w:pPr>
        <w:pStyle w:val="ListParagraph"/>
        <w:numPr>
          <w:ilvl w:val="0"/>
          <w:numId w:val="51"/>
        </w:numPr>
        <w:spacing w:after="160"/>
        <w:contextualSpacing/>
        <w:jc w:val="both"/>
        <w:rPr>
          <w:rFonts w:ascii="Arial" w:hAnsi="Arial" w:cs="Arial"/>
          <w:sz w:val="20"/>
          <w:szCs w:val="20"/>
        </w:rPr>
      </w:pPr>
      <w:r w:rsidRPr="003F0EFA">
        <w:rPr>
          <w:rFonts w:ascii="Arial" w:hAnsi="Arial" w:cs="Arial"/>
          <w:sz w:val="20"/>
          <w:szCs w:val="20"/>
        </w:rPr>
        <w:t xml:space="preserve">Study phase: </w:t>
      </w:r>
    </w:p>
    <w:p w14:paraId="341D746D" w14:textId="77777777" w:rsidR="00EE5C24" w:rsidRPr="004A275B" w:rsidRDefault="00EE5C24" w:rsidP="00EE5C24">
      <w:pPr>
        <w:pStyle w:val="ListParagraph"/>
        <w:numPr>
          <w:ilvl w:val="1"/>
          <w:numId w:val="51"/>
        </w:numPr>
        <w:spacing w:after="160"/>
        <w:contextualSpacing/>
        <w:jc w:val="both"/>
        <w:rPr>
          <w:rFonts w:ascii="Arial" w:hAnsi="Arial" w:cs="Arial"/>
          <w:sz w:val="20"/>
          <w:szCs w:val="20"/>
        </w:rPr>
      </w:pPr>
      <w:r w:rsidRPr="002F3713">
        <w:rPr>
          <w:rFonts w:ascii="Arial" w:hAnsi="Arial" w:cs="Arial"/>
          <w:sz w:val="20"/>
          <w:szCs w:val="20"/>
          <w:lang w:val="en-US"/>
        </w:rPr>
        <w:t>Identify possible solutions for the support of a</w:t>
      </w:r>
      <w:r>
        <w:rPr>
          <w:rFonts w:ascii="Arial" w:hAnsi="Arial" w:cs="Arial"/>
          <w:sz w:val="20"/>
          <w:szCs w:val="20"/>
          <w:lang w:val="en-US"/>
        </w:rPr>
        <w:t xml:space="preserve"> UE-specific</w:t>
      </w:r>
      <w:r w:rsidRPr="002F3713">
        <w:rPr>
          <w:rFonts w:ascii="Arial" w:hAnsi="Arial" w:cs="Arial"/>
          <w:sz w:val="20"/>
          <w:szCs w:val="20"/>
          <w:lang w:val="en-US"/>
        </w:rPr>
        <w:t xml:space="preserve"> robust notification/alert message and its delivery (including paging procedure impact) over downlink physical channel(s)</w:t>
      </w:r>
      <w:r>
        <w:rPr>
          <w:rFonts w:ascii="Arial" w:hAnsi="Arial" w:cs="Arial"/>
          <w:sz w:val="20"/>
          <w:szCs w:val="20"/>
          <w:lang w:val="en-US"/>
        </w:rPr>
        <w:t>.</w:t>
      </w:r>
    </w:p>
    <w:p w14:paraId="69083EE7" w14:textId="77777777" w:rsidR="00EE5C24" w:rsidRPr="00EA1CCA" w:rsidRDefault="00EE5C24" w:rsidP="00EE5C24">
      <w:pPr>
        <w:pStyle w:val="ListParagraph"/>
        <w:numPr>
          <w:ilvl w:val="1"/>
          <w:numId w:val="51"/>
        </w:numPr>
        <w:spacing w:after="160"/>
        <w:contextualSpacing/>
        <w:jc w:val="both"/>
        <w:rPr>
          <w:rFonts w:ascii="Arial" w:hAnsi="Arial" w:cs="Arial"/>
          <w:sz w:val="20"/>
          <w:szCs w:val="20"/>
        </w:rPr>
      </w:pPr>
      <w:r w:rsidRPr="00EA1CCA">
        <w:rPr>
          <w:rFonts w:ascii="Arial" w:hAnsi="Arial" w:cs="Arial"/>
          <w:sz w:val="20"/>
          <w:szCs w:val="20"/>
          <w:lang w:val="en-US"/>
        </w:rPr>
        <w:t xml:space="preserve">Compare </w:t>
      </w:r>
      <w:r w:rsidRPr="00EA1CCA">
        <w:rPr>
          <w:rFonts w:ascii="Arial" w:hAnsi="Arial" w:cs="Arial"/>
          <w:sz w:val="20"/>
          <w:szCs w:val="20"/>
        </w:rPr>
        <w:t>the coverage of a potential new notification/alert channel as well as the coverage of coverage enhanced PDCCH/PDSCH carrying regular paging to the coverage performance of SSB.</w:t>
      </w:r>
    </w:p>
    <w:p w14:paraId="7C6224CB" w14:textId="77777777" w:rsidR="00EE5C24" w:rsidRPr="003F0EFA" w:rsidRDefault="00EE5C24" w:rsidP="00EE5C24">
      <w:pPr>
        <w:pStyle w:val="ListParagraph"/>
        <w:numPr>
          <w:ilvl w:val="0"/>
          <w:numId w:val="51"/>
        </w:numPr>
        <w:spacing w:after="160"/>
        <w:contextualSpacing/>
        <w:jc w:val="both"/>
        <w:rPr>
          <w:rFonts w:ascii="Arial" w:hAnsi="Arial" w:cs="Arial"/>
          <w:sz w:val="20"/>
          <w:szCs w:val="20"/>
        </w:rPr>
      </w:pPr>
      <w:r w:rsidRPr="003F0EFA">
        <w:rPr>
          <w:rFonts w:ascii="Arial" w:hAnsi="Arial" w:cs="Arial"/>
          <w:sz w:val="20"/>
          <w:szCs w:val="20"/>
        </w:rPr>
        <w:t>Normative phase:</w:t>
      </w:r>
    </w:p>
    <w:p w14:paraId="5C2A69C5" w14:textId="77777777" w:rsidR="00EE5C24" w:rsidRDefault="00EE5C24" w:rsidP="00EE5C24">
      <w:pPr>
        <w:pStyle w:val="ListParagraph"/>
        <w:numPr>
          <w:ilvl w:val="1"/>
          <w:numId w:val="51"/>
        </w:numPr>
        <w:spacing w:after="160"/>
        <w:contextualSpacing/>
        <w:jc w:val="both"/>
        <w:rPr>
          <w:rFonts w:ascii="Arial" w:hAnsi="Arial" w:cs="Arial"/>
          <w:sz w:val="20"/>
          <w:szCs w:val="20"/>
          <w:lang w:val="en-US"/>
        </w:rPr>
      </w:pPr>
      <w:r>
        <w:rPr>
          <w:rFonts w:ascii="Arial" w:hAnsi="Arial" w:cs="Arial"/>
          <w:sz w:val="20"/>
          <w:szCs w:val="20"/>
          <w:lang w:val="en-US"/>
        </w:rPr>
        <w:t>If found beneficial, proceed to a normative phase to d</w:t>
      </w:r>
      <w:r w:rsidRPr="003F0EFA">
        <w:rPr>
          <w:rFonts w:ascii="Arial" w:hAnsi="Arial" w:cs="Arial"/>
          <w:sz w:val="20"/>
          <w:szCs w:val="20"/>
          <w:lang w:val="en-US"/>
        </w:rPr>
        <w:t>efine</w:t>
      </w:r>
      <w:r>
        <w:rPr>
          <w:rFonts w:ascii="Arial" w:hAnsi="Arial" w:cs="Arial"/>
          <w:sz w:val="20"/>
          <w:szCs w:val="20"/>
          <w:lang w:val="en-US"/>
        </w:rPr>
        <w:t xml:space="preserve"> a robust notification/alert channel.</w:t>
      </w:r>
    </w:p>
    <w:p w14:paraId="7C101D3F" w14:textId="6AFAAEC4" w:rsidR="00367731" w:rsidRDefault="00367731" w:rsidP="00367731">
      <w:pPr>
        <w:pStyle w:val="Heading3"/>
      </w:pPr>
      <w:r>
        <w:t>Enhanced GNSS Operation</w:t>
      </w:r>
    </w:p>
    <w:p w14:paraId="113EFD3D" w14:textId="77777777" w:rsidR="00367731" w:rsidRDefault="00367731" w:rsidP="00367731">
      <w:pPr>
        <w:pStyle w:val="ListParagraph"/>
        <w:numPr>
          <w:ilvl w:val="0"/>
          <w:numId w:val="51"/>
        </w:numPr>
        <w:spacing w:after="160"/>
        <w:contextualSpacing/>
        <w:jc w:val="both"/>
        <w:rPr>
          <w:rFonts w:ascii="Arial" w:hAnsi="Arial" w:cs="Arial"/>
          <w:sz w:val="20"/>
          <w:szCs w:val="20"/>
          <w:lang w:val="en-GB" w:eastAsia="ja-JP"/>
        </w:rPr>
      </w:pPr>
      <w:r w:rsidRPr="004F5F78">
        <w:rPr>
          <w:rFonts w:ascii="Arial" w:hAnsi="Arial" w:cs="Arial"/>
          <w:sz w:val="20"/>
          <w:szCs w:val="20"/>
          <w:bdr w:val="none" w:sz="0" w:space="0" w:color="auto" w:frame="1"/>
        </w:rPr>
        <w:t xml:space="preserve">Study, and if </w:t>
      </w:r>
      <w:r w:rsidRPr="004F5F78">
        <w:rPr>
          <w:rFonts w:ascii="Arial" w:hAnsi="Arial" w:cs="Arial"/>
          <w:sz w:val="20"/>
          <w:szCs w:val="20"/>
          <w:lang w:val="en-GB" w:eastAsia="ja-JP"/>
        </w:rPr>
        <w:t>needed specify, enhancements for the UE pre-compensation for UL time and frequency synchronization in case GNSS availability and/or accuracy is reduced</w:t>
      </w:r>
      <w:r>
        <w:rPr>
          <w:rFonts w:ascii="Arial" w:hAnsi="Arial" w:cs="Arial"/>
          <w:sz w:val="20"/>
          <w:szCs w:val="20"/>
          <w:lang w:val="en-GB" w:eastAsia="ja-JP"/>
        </w:rPr>
        <w:t>.</w:t>
      </w:r>
    </w:p>
    <w:p w14:paraId="3885D0AC" w14:textId="77777777" w:rsidR="00367731" w:rsidRDefault="00367731" w:rsidP="00367731">
      <w:pPr>
        <w:pStyle w:val="ListParagraph"/>
        <w:numPr>
          <w:ilvl w:val="0"/>
          <w:numId w:val="51"/>
        </w:numPr>
        <w:spacing w:after="160"/>
        <w:contextualSpacing/>
        <w:jc w:val="both"/>
        <w:rPr>
          <w:rFonts w:cs="Arial"/>
          <w:szCs w:val="20"/>
          <w:lang w:val="en-GB" w:eastAsia="ja-JP"/>
        </w:rPr>
      </w:pPr>
      <w:r>
        <w:rPr>
          <w:rFonts w:ascii="Arial" w:hAnsi="Arial" w:cs="Arial"/>
          <w:sz w:val="20"/>
          <w:szCs w:val="20"/>
          <w:lang w:val="en-GB" w:eastAsia="ja-JP"/>
        </w:rPr>
        <w:t xml:space="preserve">Both </w:t>
      </w:r>
      <w:r w:rsidRPr="004F5F78">
        <w:rPr>
          <w:rFonts w:ascii="Arial" w:hAnsi="Arial" w:cs="Arial"/>
          <w:sz w:val="20"/>
          <w:szCs w:val="20"/>
          <w:lang w:val="en-GB" w:eastAsia="ja-JP"/>
        </w:rPr>
        <w:t xml:space="preserve">connected </w:t>
      </w:r>
      <w:r>
        <w:rPr>
          <w:rFonts w:ascii="Arial" w:hAnsi="Arial" w:cs="Arial"/>
          <w:sz w:val="20"/>
          <w:szCs w:val="20"/>
          <w:lang w:val="en-GB" w:eastAsia="ja-JP"/>
        </w:rPr>
        <w:t xml:space="preserve">mode (long connection times) </w:t>
      </w:r>
      <w:r w:rsidRPr="004F5F78">
        <w:rPr>
          <w:rFonts w:ascii="Arial" w:hAnsi="Arial" w:cs="Arial"/>
          <w:sz w:val="20"/>
          <w:szCs w:val="20"/>
          <w:lang w:val="en-GB" w:eastAsia="ja-JP"/>
        </w:rPr>
        <w:t>and idle mode</w:t>
      </w:r>
      <w:r>
        <w:rPr>
          <w:rFonts w:ascii="Arial" w:hAnsi="Arial" w:cs="Arial"/>
          <w:sz w:val="20"/>
          <w:szCs w:val="20"/>
          <w:lang w:val="en-GB" w:eastAsia="ja-JP"/>
        </w:rPr>
        <w:t xml:space="preserve"> (PRACH transmissions) are in scope of this objective.</w:t>
      </w:r>
    </w:p>
    <w:p w14:paraId="13D38F73" w14:textId="6FAF08A0" w:rsidR="00367731" w:rsidRDefault="00367731" w:rsidP="00367731">
      <w:pPr>
        <w:pStyle w:val="Heading3"/>
      </w:pPr>
      <w:r>
        <w:t>Regenerative Architecture</w:t>
      </w:r>
    </w:p>
    <w:p w14:paraId="3632DCEF" w14:textId="77777777" w:rsidR="00367731" w:rsidRDefault="00367731" w:rsidP="00367731">
      <w:pPr>
        <w:pStyle w:val="ListParagraph"/>
        <w:numPr>
          <w:ilvl w:val="0"/>
          <w:numId w:val="51"/>
        </w:numPr>
        <w:spacing w:after="160"/>
        <w:contextualSpacing/>
        <w:jc w:val="both"/>
        <w:rPr>
          <w:rFonts w:ascii="Arial" w:hAnsi="Arial" w:cs="Arial"/>
          <w:sz w:val="20"/>
          <w:szCs w:val="20"/>
          <w:lang w:val="en-GB" w:eastAsia="ja-JP"/>
        </w:rPr>
      </w:pPr>
      <w:r w:rsidRPr="0031258B">
        <w:rPr>
          <w:rFonts w:ascii="Arial" w:hAnsi="Arial" w:cs="Arial"/>
          <w:sz w:val="20"/>
          <w:szCs w:val="20"/>
          <w:bdr w:val="none" w:sz="0" w:space="0" w:color="auto" w:frame="1"/>
        </w:rPr>
        <w:t xml:space="preserve">Add a clarification to TS 38.300, stating that a regenerative architecture with </w:t>
      </w:r>
      <w:r>
        <w:rPr>
          <w:rFonts w:ascii="Arial" w:hAnsi="Arial" w:cs="Arial"/>
          <w:sz w:val="20"/>
          <w:szCs w:val="20"/>
          <w:bdr w:val="none" w:sz="0" w:space="0" w:color="auto" w:frame="1"/>
          <w:lang w:val="en-US"/>
        </w:rPr>
        <w:t xml:space="preserve">the full </w:t>
      </w:r>
      <w:r w:rsidRPr="0031258B">
        <w:rPr>
          <w:rFonts w:ascii="Arial" w:hAnsi="Arial" w:cs="Arial"/>
          <w:sz w:val="20"/>
          <w:szCs w:val="20"/>
          <w:bdr w:val="none" w:sz="0" w:space="0" w:color="auto" w:frame="1"/>
        </w:rPr>
        <w:t>gNB on</w:t>
      </w:r>
      <w:r>
        <w:rPr>
          <w:rFonts w:ascii="Arial" w:hAnsi="Arial" w:cs="Arial"/>
          <w:sz w:val="20"/>
          <w:szCs w:val="20"/>
          <w:bdr w:val="none" w:sz="0" w:space="0" w:color="auto" w:frame="1"/>
          <w:lang w:val="en-US"/>
        </w:rPr>
        <w:t xml:space="preserve"> </w:t>
      </w:r>
      <w:r w:rsidRPr="0031258B">
        <w:rPr>
          <w:rFonts w:ascii="Arial" w:hAnsi="Arial" w:cs="Arial"/>
          <w:sz w:val="20"/>
          <w:szCs w:val="20"/>
          <w:bdr w:val="none" w:sz="0" w:space="0" w:color="auto" w:frame="1"/>
        </w:rPr>
        <w:t>board is supported.</w:t>
      </w:r>
    </w:p>
    <w:p w14:paraId="58529277" w14:textId="77777777" w:rsidR="00367731" w:rsidRPr="00367731" w:rsidRDefault="00367731" w:rsidP="00367731">
      <w:pPr>
        <w:pStyle w:val="ListParagraph"/>
        <w:numPr>
          <w:ilvl w:val="0"/>
          <w:numId w:val="51"/>
        </w:numPr>
        <w:spacing w:after="160"/>
        <w:contextualSpacing/>
        <w:jc w:val="both"/>
        <w:rPr>
          <w:rFonts w:cs="Arial"/>
          <w:szCs w:val="20"/>
          <w:lang w:val="en-GB" w:eastAsia="ja-JP"/>
        </w:rPr>
      </w:pPr>
      <w:r w:rsidRPr="0031258B">
        <w:rPr>
          <w:rFonts w:ascii="Arial" w:hAnsi="Arial" w:cs="Arial"/>
          <w:sz w:val="20"/>
          <w:szCs w:val="20"/>
          <w:lang w:val="en-GB" w:eastAsia="ja-JP"/>
        </w:rPr>
        <w:t>If further clarifications are needed, they should be addressed</w:t>
      </w:r>
      <w:r>
        <w:rPr>
          <w:rFonts w:ascii="Arial" w:hAnsi="Arial" w:cs="Arial"/>
          <w:sz w:val="20"/>
          <w:szCs w:val="20"/>
          <w:lang w:val="en-GB" w:eastAsia="ja-JP"/>
        </w:rPr>
        <w:t>.</w:t>
      </w:r>
    </w:p>
    <w:p w14:paraId="36EFD418" w14:textId="15931BF0" w:rsidR="00367731" w:rsidRDefault="00367731" w:rsidP="00367731">
      <w:pPr>
        <w:pStyle w:val="Heading3"/>
      </w:pPr>
      <w:r>
        <w:t>RedCap</w:t>
      </w:r>
    </w:p>
    <w:p w14:paraId="29A862B4" w14:textId="77777777" w:rsidR="00367731" w:rsidRDefault="00367731" w:rsidP="00367731">
      <w:pPr>
        <w:pStyle w:val="ListParagraph"/>
        <w:numPr>
          <w:ilvl w:val="0"/>
          <w:numId w:val="51"/>
        </w:numPr>
        <w:spacing w:after="160"/>
        <w:contextualSpacing/>
        <w:jc w:val="both"/>
        <w:rPr>
          <w:rFonts w:ascii="Arial" w:hAnsi="Arial" w:cs="Arial"/>
          <w:sz w:val="20"/>
          <w:szCs w:val="20"/>
          <w:bdr w:val="none" w:sz="0" w:space="0" w:color="auto" w:frame="1"/>
        </w:rPr>
      </w:pPr>
      <w:r>
        <w:rPr>
          <w:rFonts w:ascii="Arial" w:hAnsi="Arial" w:cs="Arial"/>
          <w:sz w:val="20"/>
          <w:szCs w:val="20"/>
          <w:bdr w:val="none" w:sz="0" w:space="0" w:color="auto" w:frame="1"/>
          <w:lang w:val="en-US"/>
        </w:rPr>
        <w:t xml:space="preserve">Specify RF and </w:t>
      </w:r>
      <w:r w:rsidRPr="006B339C">
        <w:rPr>
          <w:rFonts w:ascii="Arial" w:hAnsi="Arial" w:cs="Arial"/>
          <w:sz w:val="20"/>
          <w:szCs w:val="20"/>
          <w:bdr w:val="none" w:sz="0" w:space="0" w:color="auto" w:frame="1"/>
        </w:rPr>
        <w:t>RRM requirements to support NTN for RedCap UEs.</w:t>
      </w:r>
    </w:p>
    <w:p w14:paraId="3BDF5FE5" w14:textId="77777777" w:rsidR="00367731" w:rsidRPr="006B339C" w:rsidRDefault="00367731" w:rsidP="00367731">
      <w:pPr>
        <w:pStyle w:val="ListParagraph"/>
        <w:numPr>
          <w:ilvl w:val="0"/>
          <w:numId w:val="51"/>
        </w:numPr>
        <w:spacing w:after="160"/>
        <w:contextualSpacing/>
        <w:jc w:val="both"/>
      </w:pPr>
      <w:r w:rsidRPr="006B339C">
        <w:rPr>
          <w:rFonts w:ascii="Arial" w:hAnsi="Arial" w:cs="Arial"/>
          <w:sz w:val="20"/>
          <w:szCs w:val="20"/>
          <w:bdr w:val="none" w:sz="0" w:space="0" w:color="auto" w:frame="1"/>
        </w:rPr>
        <w:t>Study and specify, if needed, support for HD-FDD operation in NTN.</w:t>
      </w:r>
    </w:p>
    <w:p w14:paraId="469AB2FD" w14:textId="5917128F" w:rsidR="00367731" w:rsidRDefault="00367731" w:rsidP="00367731">
      <w:pPr>
        <w:pStyle w:val="Heading3"/>
      </w:pPr>
      <w:r>
        <w:t>High-Power UE</w:t>
      </w:r>
    </w:p>
    <w:p w14:paraId="37D17551" w14:textId="77777777" w:rsidR="00367731" w:rsidRDefault="00367731" w:rsidP="00367731">
      <w:pPr>
        <w:pStyle w:val="ListParagraph"/>
        <w:numPr>
          <w:ilvl w:val="0"/>
          <w:numId w:val="51"/>
        </w:numPr>
        <w:spacing w:after="160"/>
        <w:contextualSpacing/>
        <w:jc w:val="both"/>
        <w:rPr>
          <w:rFonts w:ascii="Arial" w:hAnsi="Arial" w:cs="Arial"/>
          <w:sz w:val="20"/>
          <w:szCs w:val="20"/>
          <w:bdr w:val="none" w:sz="0" w:space="0" w:color="auto" w:frame="1"/>
        </w:rPr>
      </w:pPr>
      <w:r w:rsidRPr="00B1754D">
        <w:rPr>
          <w:rFonts w:ascii="Arial" w:hAnsi="Arial" w:cs="Arial"/>
          <w:sz w:val="20"/>
          <w:szCs w:val="20"/>
          <w:bdr w:val="none" w:sz="0" w:space="0" w:color="auto" w:frame="1"/>
        </w:rPr>
        <w:t xml:space="preserve">Specify RF and RRM </w:t>
      </w:r>
      <w:r>
        <w:rPr>
          <w:rFonts w:ascii="Arial" w:hAnsi="Arial" w:cs="Arial"/>
          <w:sz w:val="20"/>
          <w:szCs w:val="20"/>
          <w:bdr w:val="none" w:sz="0" w:space="0" w:color="auto" w:frame="1"/>
          <w:lang w:val="en-US"/>
        </w:rPr>
        <w:t xml:space="preserve">parameters and </w:t>
      </w:r>
      <w:r w:rsidRPr="00B1754D">
        <w:rPr>
          <w:rFonts w:ascii="Arial" w:hAnsi="Arial" w:cs="Arial"/>
          <w:sz w:val="20"/>
          <w:szCs w:val="20"/>
          <w:bdr w:val="none" w:sz="0" w:space="0" w:color="auto" w:frame="1"/>
        </w:rPr>
        <w:t xml:space="preserve">requirements for a new high-power UE </w:t>
      </w:r>
      <w:r>
        <w:rPr>
          <w:rFonts w:ascii="Arial" w:hAnsi="Arial" w:cs="Arial"/>
          <w:sz w:val="20"/>
          <w:szCs w:val="20"/>
          <w:bdr w:val="none" w:sz="0" w:space="0" w:color="auto" w:frame="1"/>
          <w:lang w:val="en-US"/>
        </w:rPr>
        <w:t xml:space="preserve">for NTN </w:t>
      </w:r>
      <w:r w:rsidRPr="00B1754D">
        <w:rPr>
          <w:rFonts w:ascii="Arial" w:hAnsi="Arial" w:cs="Arial"/>
          <w:sz w:val="20"/>
          <w:szCs w:val="20"/>
          <w:bdr w:val="none" w:sz="0" w:space="0" w:color="auto" w:frame="1"/>
        </w:rPr>
        <w:t>in exemplary FR1 bands.</w:t>
      </w:r>
    </w:p>
    <w:p w14:paraId="798E835B" w14:textId="77777777" w:rsidR="00367731" w:rsidRPr="008E1C93" w:rsidRDefault="00367731" w:rsidP="00367731">
      <w:pPr>
        <w:pStyle w:val="ListParagraph"/>
        <w:numPr>
          <w:ilvl w:val="0"/>
          <w:numId w:val="51"/>
        </w:numPr>
        <w:spacing w:after="160"/>
        <w:contextualSpacing/>
        <w:jc w:val="both"/>
        <w:rPr>
          <w:lang w:val="en-US" w:eastAsia="ja-JP"/>
        </w:rPr>
      </w:pPr>
      <w:r w:rsidRPr="008E1C93">
        <w:rPr>
          <w:rFonts w:ascii="Arial" w:hAnsi="Arial" w:cs="Arial"/>
          <w:sz w:val="20"/>
          <w:szCs w:val="20"/>
          <w:bdr w:val="none" w:sz="0" w:space="0" w:color="auto" w:frame="1"/>
          <w:lang w:val="en-US"/>
        </w:rPr>
        <w:t>At least consider PC2 (26 dBm).</w:t>
      </w:r>
    </w:p>
    <w:p w14:paraId="6B523F94" w14:textId="77777777" w:rsidR="00367731" w:rsidRDefault="00367731" w:rsidP="00367731">
      <w:pPr>
        <w:pStyle w:val="ListParagraph"/>
        <w:numPr>
          <w:ilvl w:val="0"/>
          <w:numId w:val="51"/>
        </w:numPr>
        <w:spacing w:after="160"/>
        <w:contextualSpacing/>
        <w:jc w:val="both"/>
        <w:rPr>
          <w:rFonts w:ascii="Arial" w:hAnsi="Arial" w:cs="Arial"/>
          <w:sz w:val="20"/>
          <w:szCs w:val="20"/>
          <w:bdr w:val="none" w:sz="0" w:space="0" w:color="auto" w:frame="1"/>
          <w:lang w:val="en-US"/>
        </w:rPr>
      </w:pPr>
      <w:r w:rsidRPr="008E1C93">
        <w:rPr>
          <w:rFonts w:ascii="Arial" w:hAnsi="Arial" w:cs="Arial"/>
          <w:sz w:val="20"/>
          <w:szCs w:val="20"/>
          <w:bdr w:val="none" w:sz="0" w:space="0" w:color="auto" w:frame="1"/>
          <w:lang w:val="en-US"/>
        </w:rPr>
        <w:t xml:space="preserve">Update </w:t>
      </w:r>
      <w:r>
        <w:rPr>
          <w:rFonts w:ascii="Arial" w:hAnsi="Arial" w:cs="Arial"/>
          <w:sz w:val="20"/>
          <w:szCs w:val="20"/>
          <w:bdr w:val="none" w:sz="0" w:space="0" w:color="auto" w:frame="1"/>
          <w:lang w:val="en-US"/>
        </w:rPr>
        <w:t xml:space="preserve">the Rel-17 </w:t>
      </w:r>
      <w:r w:rsidRPr="008E1C93">
        <w:rPr>
          <w:rFonts w:ascii="Arial" w:hAnsi="Arial" w:cs="Arial"/>
          <w:sz w:val="20"/>
          <w:szCs w:val="20"/>
          <w:bdr w:val="none" w:sz="0" w:space="0" w:color="auto" w:frame="1"/>
          <w:lang w:val="en-US"/>
        </w:rPr>
        <w:t xml:space="preserve">coexistence analysis based on </w:t>
      </w:r>
      <w:r>
        <w:rPr>
          <w:rFonts w:ascii="Arial" w:hAnsi="Arial" w:cs="Arial"/>
          <w:sz w:val="20"/>
          <w:szCs w:val="20"/>
          <w:bdr w:val="none" w:sz="0" w:space="0" w:color="auto" w:frame="1"/>
          <w:lang w:val="en-US"/>
        </w:rPr>
        <w:t xml:space="preserve">the methodology defined in </w:t>
      </w:r>
      <w:r w:rsidRPr="008E1C93">
        <w:rPr>
          <w:rFonts w:ascii="Arial" w:hAnsi="Arial" w:cs="Arial"/>
          <w:sz w:val="20"/>
          <w:szCs w:val="20"/>
          <w:bdr w:val="none" w:sz="0" w:space="0" w:color="auto" w:frame="1"/>
          <w:lang w:val="en-US"/>
        </w:rPr>
        <w:t>TR 38.863</w:t>
      </w:r>
      <w:r>
        <w:rPr>
          <w:rFonts w:ascii="Arial" w:hAnsi="Arial" w:cs="Arial"/>
          <w:sz w:val="20"/>
          <w:szCs w:val="20"/>
          <w:bdr w:val="none" w:sz="0" w:space="0" w:color="auto" w:frame="1"/>
          <w:lang w:val="en-US"/>
        </w:rPr>
        <w:t>.</w:t>
      </w:r>
    </w:p>
    <w:p w14:paraId="06F1C40B" w14:textId="1CA1A990" w:rsidR="00367731" w:rsidRDefault="00367731" w:rsidP="00367731">
      <w:pPr>
        <w:pStyle w:val="Heading3"/>
      </w:pPr>
      <w:r>
        <w:lastRenderedPageBreak/>
        <w:t>TE-emulated Channel Model</w:t>
      </w:r>
    </w:p>
    <w:p w14:paraId="03FA8130" w14:textId="77777777" w:rsidR="00367731" w:rsidRPr="00AD3BFE" w:rsidRDefault="00367731" w:rsidP="00367731">
      <w:pPr>
        <w:pStyle w:val="ListParagraph"/>
        <w:numPr>
          <w:ilvl w:val="0"/>
          <w:numId w:val="51"/>
        </w:numPr>
        <w:spacing w:after="160"/>
        <w:contextualSpacing/>
        <w:jc w:val="both"/>
        <w:rPr>
          <w:rFonts w:ascii="Arial" w:hAnsi="Arial" w:cs="Arial"/>
          <w:sz w:val="20"/>
          <w:szCs w:val="20"/>
          <w:bdr w:val="none" w:sz="0" w:space="0" w:color="auto" w:frame="1"/>
          <w:lang w:val="en-US"/>
        </w:rPr>
      </w:pPr>
      <w:r w:rsidRPr="00AD3BFE">
        <w:rPr>
          <w:rFonts w:ascii="Arial" w:hAnsi="Arial" w:cs="Arial"/>
          <w:sz w:val="20"/>
          <w:szCs w:val="20"/>
          <w:bdr w:val="none" w:sz="0" w:space="0" w:color="auto" w:frame="1"/>
          <w:lang w:val="en-US"/>
        </w:rPr>
        <w:t>Introduc</w:t>
      </w:r>
      <w:r>
        <w:rPr>
          <w:rFonts w:ascii="Arial" w:hAnsi="Arial" w:cs="Arial"/>
          <w:sz w:val="20"/>
          <w:szCs w:val="20"/>
          <w:bdr w:val="none" w:sz="0" w:space="0" w:color="auto" w:frame="1"/>
          <w:lang w:val="en-US"/>
        </w:rPr>
        <w:t xml:space="preserve">e an </w:t>
      </w:r>
      <w:r w:rsidRPr="00AD3BFE">
        <w:rPr>
          <w:rFonts w:ascii="Arial" w:hAnsi="Arial" w:cs="Arial"/>
          <w:sz w:val="20"/>
          <w:szCs w:val="20"/>
          <w:bdr w:val="none" w:sz="0" w:space="0" w:color="auto" w:frame="1"/>
          <w:lang w:val="en-US"/>
        </w:rPr>
        <w:t xml:space="preserve">emulated satellite channel </w:t>
      </w:r>
      <w:r>
        <w:rPr>
          <w:rFonts w:ascii="Arial" w:hAnsi="Arial" w:cs="Arial"/>
          <w:sz w:val="20"/>
          <w:szCs w:val="20"/>
          <w:bdr w:val="none" w:sz="0" w:space="0" w:color="auto" w:frame="1"/>
          <w:lang w:val="en-US"/>
        </w:rPr>
        <w:t xml:space="preserve">with </w:t>
      </w:r>
      <w:r w:rsidRPr="00AD3BFE">
        <w:rPr>
          <w:rFonts w:ascii="Arial" w:hAnsi="Arial" w:cs="Arial"/>
          <w:sz w:val="20"/>
          <w:szCs w:val="20"/>
          <w:bdr w:val="none" w:sz="0" w:space="0" w:color="auto" w:frame="1"/>
          <w:lang w:val="en-US"/>
        </w:rPr>
        <w:t>variable delay and variable doppler frequency</w:t>
      </w:r>
      <w:r>
        <w:rPr>
          <w:rFonts w:ascii="Arial" w:hAnsi="Arial" w:cs="Arial"/>
          <w:sz w:val="20"/>
          <w:szCs w:val="20"/>
          <w:bdr w:val="none" w:sz="0" w:space="0" w:color="auto" w:frame="1"/>
          <w:lang w:val="en-US"/>
        </w:rPr>
        <w:t xml:space="preserve"> for UE testing</w:t>
      </w:r>
      <w:r w:rsidRPr="00AD3BFE">
        <w:rPr>
          <w:rFonts w:ascii="Arial" w:hAnsi="Arial" w:cs="Arial"/>
          <w:sz w:val="20"/>
          <w:szCs w:val="20"/>
          <w:bdr w:val="none" w:sz="0" w:space="0" w:color="auto" w:frame="1"/>
          <w:lang w:val="en-US"/>
        </w:rPr>
        <w:t>.</w:t>
      </w:r>
    </w:p>
    <w:p w14:paraId="3C3AC1D7" w14:textId="77777777" w:rsidR="00367731" w:rsidRPr="00AD3BFE" w:rsidRDefault="00367731" w:rsidP="00367731">
      <w:pPr>
        <w:pStyle w:val="ListParagraph"/>
        <w:numPr>
          <w:ilvl w:val="0"/>
          <w:numId w:val="51"/>
        </w:numPr>
        <w:spacing w:after="160"/>
        <w:contextualSpacing/>
        <w:jc w:val="both"/>
        <w:rPr>
          <w:rFonts w:cs="Arial"/>
          <w:szCs w:val="20"/>
          <w:bdr w:val="none" w:sz="0" w:space="0" w:color="auto" w:frame="1"/>
        </w:rPr>
      </w:pPr>
      <w:r w:rsidRPr="00AD3BFE">
        <w:rPr>
          <w:rFonts w:ascii="Arial" w:hAnsi="Arial" w:cs="Arial"/>
          <w:sz w:val="20"/>
          <w:szCs w:val="20"/>
          <w:bdr w:val="none" w:sz="0" w:space="0" w:color="auto" w:frame="1"/>
          <w:lang w:val="en-US"/>
        </w:rPr>
        <w:t>Specify</w:t>
      </w:r>
      <w:r>
        <w:rPr>
          <w:rFonts w:ascii="Arial" w:hAnsi="Arial" w:cs="Arial"/>
          <w:sz w:val="20"/>
          <w:szCs w:val="20"/>
          <w:bdr w:val="none" w:sz="0" w:space="0" w:color="auto" w:frame="1"/>
          <w:lang w:val="en-US"/>
        </w:rPr>
        <w:t xml:space="preserve"> </w:t>
      </w:r>
      <w:r w:rsidRPr="00AD3BFE">
        <w:rPr>
          <w:rFonts w:ascii="Arial" w:hAnsi="Arial" w:cs="Arial"/>
          <w:sz w:val="20"/>
          <w:szCs w:val="20"/>
          <w:bdr w:val="none" w:sz="0" w:space="0" w:color="auto" w:frame="1"/>
          <w:lang w:val="en-US"/>
        </w:rPr>
        <w:t>enhanced test condition</w:t>
      </w:r>
      <w:r>
        <w:rPr>
          <w:rFonts w:ascii="Arial" w:hAnsi="Arial" w:cs="Arial"/>
          <w:sz w:val="20"/>
          <w:szCs w:val="20"/>
          <w:bdr w:val="none" w:sz="0" w:space="0" w:color="auto" w:frame="1"/>
          <w:lang w:val="en-US"/>
        </w:rPr>
        <w:t>s</w:t>
      </w:r>
      <w:r w:rsidRPr="00AD3BFE">
        <w:rPr>
          <w:rFonts w:ascii="Arial" w:hAnsi="Arial" w:cs="Arial"/>
          <w:sz w:val="20"/>
          <w:szCs w:val="20"/>
          <w:bdr w:val="none" w:sz="0" w:space="0" w:color="auto" w:frame="1"/>
          <w:lang w:val="en-US"/>
        </w:rPr>
        <w:t xml:space="preserve"> </w:t>
      </w:r>
      <w:r>
        <w:rPr>
          <w:rFonts w:ascii="Arial" w:hAnsi="Arial" w:cs="Arial"/>
          <w:sz w:val="20"/>
          <w:szCs w:val="20"/>
          <w:bdr w:val="none" w:sz="0" w:space="0" w:color="auto" w:frame="1"/>
          <w:lang w:val="en-US"/>
        </w:rPr>
        <w:t xml:space="preserve">at least </w:t>
      </w:r>
      <w:r w:rsidRPr="00AD3BFE">
        <w:rPr>
          <w:rFonts w:ascii="Arial" w:hAnsi="Arial" w:cs="Arial"/>
          <w:sz w:val="20"/>
          <w:szCs w:val="20"/>
          <w:bdr w:val="none" w:sz="0" w:space="0" w:color="auto" w:frame="1"/>
          <w:lang w:val="en-US"/>
        </w:rPr>
        <w:t xml:space="preserve">for </w:t>
      </w:r>
      <w:r>
        <w:rPr>
          <w:rFonts w:ascii="Arial" w:hAnsi="Arial" w:cs="Arial"/>
          <w:sz w:val="20"/>
          <w:szCs w:val="20"/>
          <w:bdr w:val="none" w:sz="0" w:space="0" w:color="auto" w:frame="1"/>
          <w:lang w:val="en-US"/>
        </w:rPr>
        <w:t xml:space="preserve">the requirements on </w:t>
      </w:r>
      <w:r w:rsidRPr="00AD3BFE">
        <w:rPr>
          <w:rFonts w:ascii="Arial" w:hAnsi="Arial" w:cs="Arial"/>
          <w:sz w:val="20"/>
          <w:szCs w:val="20"/>
          <w:bdr w:val="none" w:sz="0" w:space="0" w:color="auto" w:frame="1"/>
          <w:lang w:val="en-US"/>
        </w:rPr>
        <w:t>RF frequency error</w:t>
      </w:r>
      <w:r>
        <w:rPr>
          <w:rFonts w:ascii="Arial" w:hAnsi="Arial" w:cs="Arial"/>
          <w:sz w:val="20"/>
          <w:szCs w:val="20"/>
          <w:bdr w:val="none" w:sz="0" w:space="0" w:color="auto" w:frame="1"/>
          <w:lang w:val="en-US"/>
        </w:rPr>
        <w:t xml:space="preserve"> </w:t>
      </w:r>
      <w:r w:rsidRPr="00AD3BFE">
        <w:rPr>
          <w:rFonts w:ascii="Arial" w:hAnsi="Arial" w:cs="Arial"/>
          <w:sz w:val="20"/>
          <w:szCs w:val="20"/>
          <w:bdr w:val="none" w:sz="0" w:space="0" w:color="auto" w:frame="1"/>
          <w:lang w:val="en-US"/>
        </w:rPr>
        <w:t>and DMRS bundling for NGSO.</w:t>
      </w:r>
    </w:p>
    <w:p w14:paraId="71D79D99" w14:textId="77777777" w:rsidR="00F507D1" w:rsidRPr="00CE0424" w:rsidRDefault="00F507D1" w:rsidP="00CE0424">
      <w:pPr>
        <w:pStyle w:val="Heading1"/>
      </w:pPr>
      <w:r w:rsidRPr="00CE0424">
        <w:t>References</w:t>
      </w:r>
    </w:p>
    <w:p w14:paraId="7E6E87CC" w14:textId="29A2E9E7" w:rsidR="005F3025" w:rsidRDefault="00337BCF" w:rsidP="001F2723">
      <w:pPr>
        <w:pStyle w:val="Reference"/>
      </w:pPr>
      <w:bookmarkStart w:id="0" w:name="_Ref144477453"/>
      <w:bookmarkStart w:id="1" w:name="_Ref174151459"/>
      <w:bookmarkStart w:id="2" w:name="_Ref189809556"/>
      <w:r>
        <w:t>TR 38.821</w:t>
      </w:r>
      <w:r w:rsidR="00404A9D">
        <w:t>,</w:t>
      </w:r>
      <w:r w:rsidR="003D7C0F">
        <w:t xml:space="preserve"> Solutions for NR to support non-terrestrial networks (NTN), </w:t>
      </w:r>
      <w:r w:rsidR="001C7A4D">
        <w:t>V16.1.0</w:t>
      </w:r>
      <w:r w:rsidR="00D873EB">
        <w:t xml:space="preserve">, </w:t>
      </w:r>
      <w:r w:rsidR="0020599B">
        <w:t>2021</w:t>
      </w:r>
      <w:r w:rsidR="002D11F1">
        <w:t>-</w:t>
      </w:r>
      <w:r w:rsidR="0020599B">
        <w:t>05</w:t>
      </w:r>
      <w:bookmarkEnd w:id="0"/>
      <w:r w:rsidR="00424F8A">
        <w:t>.</w:t>
      </w:r>
    </w:p>
    <w:p w14:paraId="5E1CD755" w14:textId="3C1F7F69" w:rsidR="001C7A4D" w:rsidRDefault="00B91710" w:rsidP="001F2723">
      <w:pPr>
        <w:pStyle w:val="Reference"/>
      </w:pPr>
      <w:r>
        <w:t xml:space="preserve">TS 38.300, </w:t>
      </w:r>
      <w:proofErr w:type="gramStart"/>
      <w:r>
        <w:t>NR</w:t>
      </w:r>
      <w:proofErr w:type="gramEnd"/>
      <w:r>
        <w:t xml:space="preserve"> and NG-RAN Overall Description; Stage 2</w:t>
      </w:r>
      <w:r w:rsidR="00CA71F3">
        <w:t>, V</w:t>
      </w:r>
      <w:r w:rsidR="006718F1">
        <w:t>17.2.0, 20</w:t>
      </w:r>
      <w:r w:rsidR="00006423">
        <w:t>22-09</w:t>
      </w:r>
      <w:r w:rsidR="00424F8A">
        <w:t>.</w:t>
      </w:r>
    </w:p>
    <w:p w14:paraId="24E31B99" w14:textId="0173A739" w:rsidR="0094358D" w:rsidRDefault="0094358D" w:rsidP="001F2723">
      <w:pPr>
        <w:pStyle w:val="Reference"/>
      </w:pPr>
      <w:bookmarkStart w:id="3" w:name="_Ref152157779"/>
      <w:r>
        <w:t>R1-2</w:t>
      </w:r>
      <w:r w:rsidR="000D2659">
        <w:t>207762, “</w:t>
      </w:r>
      <w:r w:rsidR="0028696A" w:rsidRPr="0028696A">
        <w:t>On coverage enhancements for NR NTN</w:t>
      </w:r>
      <w:r w:rsidR="000D2659">
        <w:t>”</w:t>
      </w:r>
      <w:r w:rsidR="0028696A">
        <w:t xml:space="preserve">, </w:t>
      </w:r>
      <w:r w:rsidR="007E435E">
        <w:t xml:space="preserve">Ericsson, RAN1#110, </w:t>
      </w:r>
      <w:r w:rsidR="000E3DC1">
        <w:t xml:space="preserve">August </w:t>
      </w:r>
      <w:r w:rsidR="0088464C">
        <w:t xml:space="preserve">22-26, </w:t>
      </w:r>
      <w:r w:rsidR="000E3DC1">
        <w:t>2022</w:t>
      </w:r>
      <w:r w:rsidR="00161E85">
        <w:t>.</w:t>
      </w:r>
      <w:bookmarkEnd w:id="3"/>
    </w:p>
    <w:p w14:paraId="6F721EDC" w14:textId="0B262029" w:rsidR="00006423" w:rsidRDefault="00000000" w:rsidP="001F2723">
      <w:pPr>
        <w:pStyle w:val="Reference"/>
      </w:pPr>
      <w:hyperlink r:id="rId11" w:history="1">
        <w:r w:rsidR="005171D1" w:rsidRPr="00C14438">
          <w:rPr>
            <w:rStyle w:val="Hyperlink"/>
          </w:rPr>
          <w:t>SP-231199</w:t>
        </w:r>
      </w:hyperlink>
      <w:r w:rsidR="00E70032">
        <w:t xml:space="preserve">, </w:t>
      </w:r>
      <w:r w:rsidR="00914CCD" w:rsidRPr="002C1F9D">
        <w:rPr>
          <w:rFonts w:hint="eastAsia"/>
        </w:rPr>
        <w:t>Study on Integration of satellite components in the 5G architecture Phase II</w:t>
      </w:r>
      <w:r w:rsidR="00914CCD" w:rsidRPr="002C1F9D">
        <w:t>I</w:t>
      </w:r>
      <w:r w:rsidR="000900FB">
        <w:t>, Thales</w:t>
      </w:r>
      <w:r w:rsidR="00B76C82">
        <w:t xml:space="preserve">, RAN#101, </w:t>
      </w:r>
      <w:r w:rsidR="0041795B">
        <w:t xml:space="preserve">September </w:t>
      </w:r>
      <w:r w:rsidR="00CE022A">
        <w:t>11-15, 2023.</w:t>
      </w:r>
    </w:p>
    <w:bookmarkStart w:id="4" w:name="_Ref144386286"/>
    <w:bookmarkEnd w:id="1"/>
    <w:bookmarkEnd w:id="2"/>
    <w:p w14:paraId="715CA09B" w14:textId="52702904" w:rsidR="003A7EF3" w:rsidRPr="00492F2D" w:rsidRDefault="00E072D8" w:rsidP="00CE0424">
      <w:pPr>
        <w:pStyle w:val="Reference"/>
      </w:pPr>
      <w:r w:rsidRPr="00460563">
        <w:fldChar w:fldCharType="begin"/>
      </w:r>
      <w:r w:rsidRPr="00460563">
        <w:instrText>HYPERLINK "https://www.3gpp.org/ftp/tsg_ran/TSG_RAN/TSGR_100/Docs/RP-231484.zip"</w:instrText>
      </w:r>
      <w:r w:rsidRPr="00460563">
        <w:fldChar w:fldCharType="separate"/>
      </w:r>
      <w:r w:rsidRPr="00460563">
        <w:rPr>
          <w:rStyle w:val="Hyperlink"/>
          <w:lang w:val="en-GB"/>
        </w:rPr>
        <w:t>RP-231484</w:t>
      </w:r>
      <w:r w:rsidRPr="00460563">
        <w:rPr>
          <w:rStyle w:val="Hyperlink"/>
          <w:lang w:val="en-GB"/>
        </w:rPr>
        <w:fldChar w:fldCharType="end"/>
      </w:r>
      <w:r w:rsidRPr="00460563">
        <w:t xml:space="preserve">, </w:t>
      </w:r>
      <w:r w:rsidRPr="238CF396">
        <w:rPr>
          <w:rFonts w:cs="Arial"/>
        </w:rPr>
        <w:t>NR NTN (Non-Terrestrial Networks) enhancements, Thales, RAN#100, June 12-14, 2023</w:t>
      </w:r>
      <w:bookmarkEnd w:id="4"/>
      <w:r w:rsidR="00F224D9" w:rsidRPr="238CF396">
        <w:rPr>
          <w:rFonts w:cs="Arial"/>
        </w:rPr>
        <w:t>.</w:t>
      </w:r>
    </w:p>
    <w:p w14:paraId="45A7B575" w14:textId="77777777" w:rsidR="00492F2D" w:rsidRDefault="00492F2D" w:rsidP="00492F2D">
      <w:pPr>
        <w:pStyle w:val="Reference"/>
        <w:numPr>
          <w:ilvl w:val="0"/>
          <w:numId w:val="0"/>
        </w:numPr>
        <w:ind w:left="567" w:hanging="567"/>
        <w:rPr>
          <w:rFonts w:cs="Arial"/>
        </w:rPr>
      </w:pPr>
    </w:p>
    <w:p w14:paraId="1C5A48D8" w14:textId="77777777" w:rsidR="00AC3A66" w:rsidRDefault="00AC3A66">
      <w:pPr>
        <w:spacing w:after="0" w:line="240" w:lineRule="auto"/>
        <w:rPr>
          <w:rFonts w:eastAsia="Times New Roman" w:cs="Times New Roman"/>
          <w:sz w:val="36"/>
          <w:szCs w:val="20"/>
          <w:lang w:val="en-GB" w:eastAsia="ja-JP"/>
        </w:rPr>
      </w:pPr>
      <w:r>
        <w:br w:type="page"/>
      </w:r>
    </w:p>
    <w:p w14:paraId="050BEC7D" w14:textId="2D8682F2" w:rsidR="00492F2D" w:rsidRDefault="00492F2D" w:rsidP="00492F2D">
      <w:pPr>
        <w:pStyle w:val="Heading1"/>
      </w:pPr>
      <w:r>
        <w:lastRenderedPageBreak/>
        <w:t>Annex: Detailed Discussion</w:t>
      </w:r>
    </w:p>
    <w:p w14:paraId="719EE0C0" w14:textId="77777777" w:rsidR="00492F2D" w:rsidRPr="00A56D8E" w:rsidRDefault="00492F2D" w:rsidP="00492F2D">
      <w:pPr>
        <w:jc w:val="both"/>
        <w:rPr>
          <w:lang w:val="en-GB" w:eastAsia="ja-JP"/>
        </w:rPr>
      </w:pPr>
      <w:r>
        <w:rPr>
          <w:lang w:val="en-GB" w:eastAsia="ja-JP"/>
        </w:rPr>
        <w:t>In this section, we share more detailed discussions and further considerations concerning some of the objectives proposed above, as well as some other objectives that are currently being discussed for Rel-19.</w:t>
      </w:r>
    </w:p>
    <w:p w14:paraId="7721116B" w14:textId="25BB8A0C" w:rsidR="00492F2D" w:rsidRDefault="00E32C50" w:rsidP="00492F2D">
      <w:pPr>
        <w:pStyle w:val="Heading2"/>
      </w:pPr>
      <w:r>
        <w:t>A</w:t>
      </w:r>
      <w:r w:rsidR="00492F2D">
        <w:t>.1</w:t>
      </w:r>
      <w:r w:rsidR="00492F2D">
        <w:tab/>
        <w:t>DL Coverage Enhancements</w:t>
      </w:r>
    </w:p>
    <w:p w14:paraId="4AA636D3" w14:textId="77777777" w:rsidR="00492F2D" w:rsidRDefault="00492F2D" w:rsidP="00492F2D">
      <w:pPr>
        <w:tabs>
          <w:tab w:val="num" w:pos="720"/>
        </w:tabs>
        <w:jc w:val="both"/>
        <w:rPr>
          <w:lang w:eastAsia="ja-JP"/>
        </w:rPr>
      </w:pPr>
      <w:r>
        <w:rPr>
          <w:lang w:val="en-GB" w:eastAsia="ja-JP"/>
        </w:rPr>
        <w:t>In general, coverage enhancements should be realized in terms of link budget improvement (which includes interference components) but also service continuity (i.e., continuous area coverage) improvements, and any adopted enhancements should not come at the expense of any of the two realizations.</w:t>
      </w:r>
      <w:r>
        <w:rPr>
          <w:lang w:eastAsia="ja-JP"/>
        </w:rPr>
        <w:t xml:space="preserve"> </w:t>
      </w:r>
    </w:p>
    <w:p w14:paraId="6592075B" w14:textId="77777777" w:rsidR="00492F2D" w:rsidRDefault="00492F2D" w:rsidP="00492F2D">
      <w:pPr>
        <w:tabs>
          <w:tab w:val="num" w:pos="720"/>
        </w:tabs>
        <w:jc w:val="both"/>
        <w:rPr>
          <w:lang w:eastAsia="ja-JP"/>
        </w:rPr>
      </w:pPr>
      <w:r>
        <w:rPr>
          <w:lang w:val="en-GB" w:eastAsia="ja-JP"/>
        </w:rPr>
        <w:t xml:space="preserve">Coverage enhancements have been a significant part of the Rel-18 NTN WI [4]. In the study phase, preceding the normative work, it was found that the bottleneck for coverage is in the UL direction, and thus the Rel-18 work has been fully focused on UL enhancements. However, even </w:t>
      </w:r>
      <w:r w:rsidRPr="00294931">
        <w:rPr>
          <w:lang w:eastAsia="ja-JP"/>
        </w:rPr>
        <w:t>DL coverage could be a bottleneck in some situations</w:t>
      </w:r>
      <w:r>
        <w:rPr>
          <w:lang w:eastAsia="ja-JP"/>
        </w:rPr>
        <w:t xml:space="preserve">. Resources on the DL could be limited at system level, at spectrum level, both on feeder link and on service link, or due to the limited number of available Physical Cell IDs (PCI). Constraints could also arise from the design of the satellite contributing to the network performance: satellite altitude, satellite antenna gain and transmit power, satellite antenna pattern and isolation associated with frequency reuse scheme, satellite platform constraints (total power delivered to the payload). Other constraints could be associated to the design of the constellation, interacting with the optimization of the satellite: minimum elevation angle, number of satellites, attitude, etc. </w:t>
      </w:r>
    </w:p>
    <w:p w14:paraId="2E310B92" w14:textId="77777777" w:rsidR="00492F2D" w:rsidRDefault="00492F2D" w:rsidP="00492F2D">
      <w:pPr>
        <w:tabs>
          <w:tab w:val="num" w:pos="720"/>
        </w:tabs>
        <w:jc w:val="both"/>
        <w:rPr>
          <w:lang w:eastAsia="ja-JP"/>
        </w:rPr>
      </w:pPr>
      <w:r>
        <w:rPr>
          <w:lang w:eastAsia="ja-JP"/>
        </w:rPr>
        <w:t xml:space="preserve">Constraints in designing the system shall also be </w:t>
      </w:r>
      <w:proofErr w:type="gramStart"/>
      <w:r>
        <w:rPr>
          <w:lang w:eastAsia="ja-JP"/>
        </w:rPr>
        <w:t>taken into account</w:t>
      </w:r>
      <w:proofErr w:type="gramEnd"/>
      <w:r>
        <w:rPr>
          <w:lang w:eastAsia="ja-JP"/>
        </w:rPr>
        <w:t xml:space="preserve">, for instance protecting other services through PFD (power flux-density) limits as provided in the ITU Radio Regulations. Finally, specific propagation losses shall be </w:t>
      </w:r>
      <w:proofErr w:type="gramStart"/>
      <w:r>
        <w:rPr>
          <w:lang w:eastAsia="ja-JP"/>
        </w:rPr>
        <w:t>taken into account</w:t>
      </w:r>
      <w:proofErr w:type="gramEnd"/>
      <w:r>
        <w:rPr>
          <w:lang w:eastAsia="ja-JP"/>
        </w:rPr>
        <w:t xml:space="preserve"> whether due to atmospheric effects, to the mobile propagation channel or for instance due </w:t>
      </w:r>
      <w:r w:rsidRPr="00041167">
        <w:rPr>
          <w:lang w:eastAsia="ja-JP"/>
        </w:rPr>
        <w:t xml:space="preserve">to the body </w:t>
      </w:r>
      <w:r>
        <w:rPr>
          <w:lang w:eastAsia="ja-JP"/>
        </w:rPr>
        <w:t xml:space="preserve">effect </w:t>
      </w:r>
      <w:r w:rsidRPr="00041167">
        <w:rPr>
          <w:lang w:eastAsia="ja-JP"/>
        </w:rPr>
        <w:t>of the user being placed between the UE and the satellite</w:t>
      </w:r>
      <w:r>
        <w:rPr>
          <w:lang w:eastAsia="ja-JP"/>
        </w:rPr>
        <w:t xml:space="preserve"> where s</w:t>
      </w:r>
      <w:r w:rsidRPr="00041167">
        <w:rPr>
          <w:lang w:eastAsia="ja-JP"/>
        </w:rPr>
        <w:t>uch a loss could be in the order of 10 dB</w:t>
      </w:r>
      <w:r>
        <w:rPr>
          <w:lang w:eastAsia="ja-JP"/>
        </w:rPr>
        <w:t>.</w:t>
      </w:r>
    </w:p>
    <w:p w14:paraId="2A95ADE4" w14:textId="77777777" w:rsidR="00492F2D" w:rsidRDefault="00492F2D" w:rsidP="00492F2D">
      <w:pPr>
        <w:tabs>
          <w:tab w:val="num" w:pos="720"/>
        </w:tabs>
        <w:jc w:val="both"/>
        <w:rPr>
          <w:lang w:eastAsia="ja-JP"/>
        </w:rPr>
      </w:pPr>
      <w:r>
        <w:rPr>
          <w:lang w:eastAsia="ja-JP"/>
        </w:rPr>
        <w:t>Overall, the system performances will be assessed against network resource usage efficiency such as spectrum, power, or number of PCI.</w:t>
      </w:r>
    </w:p>
    <w:p w14:paraId="4B3CD31A" w14:textId="77777777" w:rsidR="00492F2D" w:rsidRPr="002E3458" w:rsidRDefault="00492F2D" w:rsidP="00492F2D">
      <w:pPr>
        <w:pStyle w:val="Observation"/>
        <w:ind w:left="1710" w:hanging="1710"/>
      </w:pPr>
      <w:bookmarkStart w:id="5" w:name="_Toc152606797"/>
      <w:r w:rsidRPr="00E91AC9">
        <w:t>Enhancements</w:t>
      </w:r>
      <w:r>
        <w:t xml:space="preserve"> of </w:t>
      </w:r>
      <w:r w:rsidRPr="002E3458">
        <w:t>DL coverage</w:t>
      </w:r>
      <w:r>
        <w:t xml:space="preserve"> </w:t>
      </w:r>
      <w:r w:rsidRPr="002E3458">
        <w:t>shall optimiz</w:t>
      </w:r>
      <w:r>
        <w:t xml:space="preserve">e network </w:t>
      </w:r>
      <w:r w:rsidRPr="002E3458">
        <w:t>resource usage efficiency, such as spectrum</w:t>
      </w:r>
      <w:r>
        <w:t>, power</w:t>
      </w:r>
      <w:r w:rsidRPr="002E3458">
        <w:t xml:space="preserve"> or </w:t>
      </w:r>
      <w:proofErr w:type="gramStart"/>
      <w:r w:rsidRPr="002E3458">
        <w:t>PC</w:t>
      </w:r>
      <w:r>
        <w:t>I</w:t>
      </w:r>
      <w:proofErr w:type="gramEnd"/>
      <w:r w:rsidRPr="002E3458">
        <w:t xml:space="preserve"> </w:t>
      </w:r>
      <w:bookmarkEnd w:id="5"/>
    </w:p>
    <w:p w14:paraId="777B6D06" w14:textId="77777777" w:rsidR="00492F2D" w:rsidRDefault="00492F2D" w:rsidP="00492F2D">
      <w:pPr>
        <w:jc w:val="both"/>
        <w:rPr>
          <w:lang w:eastAsia="ja-JP"/>
        </w:rPr>
      </w:pPr>
      <w:r>
        <w:rPr>
          <w:lang w:eastAsia="ja-JP"/>
        </w:rPr>
        <w:t xml:space="preserve">To improve the DL performance, it seems justified to work on DL coverage enhancements in Rel-19. Often, the method of choice to improve coverage is to introduce repetitions. At least in situations where the satellite is power-limited or operating under PFD limitations imposed by regulation, </w:t>
      </w:r>
      <w:r w:rsidRPr="00294931">
        <w:rPr>
          <w:lang w:eastAsia="ja-JP"/>
        </w:rPr>
        <w:t xml:space="preserve">using repetitions would </w:t>
      </w:r>
      <w:r>
        <w:rPr>
          <w:lang w:eastAsia="ja-JP"/>
        </w:rPr>
        <w:t xml:space="preserve">however </w:t>
      </w:r>
      <w:r w:rsidRPr="00294931">
        <w:rPr>
          <w:lang w:eastAsia="ja-JP"/>
        </w:rPr>
        <w:t>be counterproductive</w:t>
      </w:r>
      <w:r>
        <w:rPr>
          <w:lang w:eastAsia="ja-JP"/>
        </w:rPr>
        <w:t>. M</w:t>
      </w:r>
      <w:r w:rsidRPr="00294931">
        <w:rPr>
          <w:lang w:eastAsia="ja-JP"/>
        </w:rPr>
        <w:t>ore simultaneous transmissions require even more power</w:t>
      </w:r>
      <w:r>
        <w:rPr>
          <w:lang w:eastAsia="ja-JP"/>
        </w:rPr>
        <w:t xml:space="preserve">, which would simply not be available in a power-limited situation. PFD limitations are applied to minimize the interference created in other systems. In this situation, more repetitions would </w:t>
      </w:r>
      <w:r w:rsidRPr="00294931">
        <w:rPr>
          <w:lang w:eastAsia="ja-JP"/>
        </w:rPr>
        <w:t>create even more interference</w:t>
      </w:r>
      <w:r>
        <w:rPr>
          <w:lang w:eastAsia="ja-JP"/>
        </w:rPr>
        <w:t xml:space="preserve"> and thus act contrary to the intention of the PFD limitations. In addition, further latency would be introduced on top of the feeder and service link latency. In general, the use of repetitions in a power/PFD limited scenario results either in an increased DL activity factor – and consequently a reduced output power per transmission – or reduced system capacity. Therefore, we would prefer to prioritize e</w:t>
      </w:r>
      <w:r w:rsidRPr="002954AC">
        <w:rPr>
          <w:lang w:eastAsia="ja-JP"/>
        </w:rPr>
        <w:t xml:space="preserve">nhancements of spectral efficiency </w:t>
      </w:r>
      <w:r>
        <w:rPr>
          <w:lang w:eastAsia="ja-JP"/>
        </w:rPr>
        <w:t>and avoid e</w:t>
      </w:r>
      <w:r w:rsidRPr="002954AC">
        <w:rPr>
          <w:lang w:eastAsia="ja-JP"/>
        </w:rPr>
        <w:t>nhancements that significantly increase the DL activity factor on system level (e.g.</w:t>
      </w:r>
      <w:r>
        <w:rPr>
          <w:lang w:eastAsia="ja-JP"/>
        </w:rPr>
        <w:t>,</w:t>
      </w:r>
      <w:r w:rsidRPr="002954AC">
        <w:rPr>
          <w:lang w:eastAsia="ja-JP"/>
        </w:rPr>
        <w:t xml:space="preserve"> repetitions)</w:t>
      </w:r>
      <w:r>
        <w:rPr>
          <w:lang w:eastAsia="ja-JP"/>
        </w:rPr>
        <w:t xml:space="preserve">. Obviously, any approach to enhancing DL coverage should be fully compliant with applicable regulations. </w:t>
      </w:r>
    </w:p>
    <w:p w14:paraId="5512848D" w14:textId="77777777" w:rsidR="00492F2D" w:rsidRDefault="00492F2D" w:rsidP="00492F2D">
      <w:pPr>
        <w:pStyle w:val="Observation"/>
        <w:ind w:left="1710" w:hanging="1710"/>
      </w:pPr>
      <w:bookmarkStart w:id="6" w:name="_Toc152606798"/>
      <w:r>
        <w:t xml:space="preserve">The use of repetitions to enhance DL coverage </w:t>
      </w:r>
      <w:r w:rsidRPr="000C0D50">
        <w:t>in a power</w:t>
      </w:r>
      <w:r>
        <w:t>/</w:t>
      </w:r>
      <w:r w:rsidRPr="000C0D50">
        <w:t>PFD limed scenario results</w:t>
      </w:r>
      <w:r>
        <w:t xml:space="preserve"> either in an increased DL activity factor – and consequently a reduced output power per transmission – or reduced system capacity</w:t>
      </w:r>
      <w:r w:rsidRPr="000C0D50">
        <w:t>.</w:t>
      </w:r>
      <w:bookmarkEnd w:id="6"/>
    </w:p>
    <w:p w14:paraId="4273FB5A" w14:textId="77777777" w:rsidR="00492F2D" w:rsidRDefault="00492F2D" w:rsidP="00492F2D">
      <w:pPr>
        <w:pStyle w:val="Proposal"/>
      </w:pPr>
      <w:r>
        <w:t>Enhance the DL coverage, prioritizing e</w:t>
      </w:r>
      <w:r w:rsidRPr="002954AC">
        <w:t xml:space="preserve">nhancements of </w:t>
      </w:r>
      <w:r>
        <w:t>network resource efficiency, such as spectrum, power, or PCIs, excluding repetitions.</w:t>
      </w:r>
    </w:p>
    <w:p w14:paraId="767E7546" w14:textId="77777777" w:rsidR="00492F2D" w:rsidRDefault="00492F2D" w:rsidP="00492F2D"/>
    <w:p w14:paraId="6C65E681" w14:textId="258E30D3" w:rsidR="00492F2D" w:rsidRDefault="00E32C50" w:rsidP="00492F2D">
      <w:pPr>
        <w:pStyle w:val="Heading2"/>
      </w:pPr>
      <w:r>
        <w:lastRenderedPageBreak/>
        <w:t>A</w:t>
      </w:r>
      <w:r w:rsidR="00492F2D">
        <w:t>.2</w:t>
      </w:r>
      <w:r w:rsidR="00492F2D">
        <w:tab/>
        <w:t>Robust Notification/Alert Channel</w:t>
      </w:r>
    </w:p>
    <w:p w14:paraId="1C48C83E" w14:textId="77777777" w:rsidR="00492F2D" w:rsidRDefault="00492F2D" w:rsidP="00492F2D">
      <w:pPr>
        <w:jc w:val="both"/>
        <w:rPr>
          <w:lang w:val="en-GB"/>
        </w:rPr>
      </w:pPr>
      <w:r>
        <w:rPr>
          <w:lang w:val="en-GB"/>
        </w:rPr>
        <w:t xml:space="preserve">A robust notification/alert </w:t>
      </w:r>
      <w:r w:rsidDel="00B13D4A">
        <w:rPr>
          <w:lang w:val="en-GB"/>
        </w:rPr>
        <w:t xml:space="preserve">channel </w:t>
      </w:r>
      <w:r>
        <w:rPr>
          <w:lang w:val="en-GB"/>
        </w:rPr>
        <w:t xml:space="preserve">has been proposed to address the problem of the UE missing paging messages in very low SNR conditions. When the robust notification/alert message is delivered to the UE, the user is notified that they need to reduce the body and/or clutter loss, e.g., by taking the device out of a pocket or bag, or by moving to a location with LoS conditions. After the SNR conditions have been improved, the UE can access the network to respond to the notification/alert message. According to 38.821 </w:t>
      </w:r>
      <w:r>
        <w:rPr>
          <w:lang w:val="en-GB"/>
        </w:rPr>
        <w:fldChar w:fldCharType="begin"/>
      </w:r>
      <w:r>
        <w:rPr>
          <w:lang w:val="en-GB"/>
        </w:rPr>
        <w:instrText xml:space="preserve"> REF _Ref144477453 \r \h </w:instrText>
      </w:r>
      <w:r>
        <w:rPr>
          <w:lang w:val="en-GB"/>
        </w:rPr>
      </w:r>
      <w:r>
        <w:rPr>
          <w:lang w:val="en-GB"/>
        </w:rPr>
        <w:fldChar w:fldCharType="separate"/>
      </w:r>
      <w:r>
        <w:rPr>
          <w:lang w:val="en-GB"/>
        </w:rPr>
        <w:t>[1]</w:t>
      </w:r>
      <w:r>
        <w:rPr>
          <w:lang w:val="en-GB"/>
        </w:rPr>
        <w:fldChar w:fldCharType="end"/>
      </w:r>
      <w:r>
        <w:rPr>
          <w:lang w:val="en-GB"/>
        </w:rPr>
        <w:t xml:space="preserve">, clutter loss can exceed 18 dB. Body loss has been estimated to be in the order of 10 dB. To overcome these losses, a channel operating in very low SNR would be required. At the same time, the UE is dependent on reception of SSB for synchronization. Coverage enhancement of SSB should not be considered in the scope of this work. The link margin of SSB in LEO 600 with Set-1 satellite parameters has been estimated to approximately 8 dB not taking clutter loss and body loss into account (see </w:t>
      </w:r>
      <w:r>
        <w:rPr>
          <w:lang w:val="en-GB"/>
        </w:rPr>
        <w:fldChar w:fldCharType="begin"/>
      </w:r>
      <w:r>
        <w:rPr>
          <w:lang w:val="en-GB"/>
        </w:rPr>
        <w:instrText xml:space="preserve"> REF _Ref152157779 \r \h </w:instrText>
      </w:r>
      <w:r>
        <w:rPr>
          <w:lang w:val="en-GB"/>
        </w:rPr>
      </w:r>
      <w:r>
        <w:rPr>
          <w:lang w:val="en-GB"/>
        </w:rPr>
        <w:fldChar w:fldCharType="separate"/>
      </w:r>
      <w:r>
        <w:rPr>
          <w:lang w:val="en-GB"/>
        </w:rPr>
        <w:t>[3]</w:t>
      </w:r>
      <w:r>
        <w:rPr>
          <w:lang w:val="en-GB"/>
        </w:rPr>
        <w:fldChar w:fldCharType="end"/>
      </w:r>
      <w:r>
        <w:rPr>
          <w:lang w:val="en-GB"/>
        </w:rPr>
        <w:t>).</w:t>
      </w:r>
    </w:p>
    <w:p w14:paraId="2F36C339" w14:textId="77777777" w:rsidR="00492F2D" w:rsidRDefault="00492F2D" w:rsidP="00492F2D">
      <w:pPr>
        <w:jc w:val="both"/>
        <w:rPr>
          <w:lang w:val="en-GB"/>
        </w:rPr>
      </w:pPr>
      <w:r>
        <w:rPr>
          <w:lang w:val="en-GB"/>
        </w:rPr>
        <w:t>A UE that operates in SNR conditions that prohibit reception of SSB will not be able to synchronize to the serving cell, read system information, perform neighbour cell measurements, cell re-selection, tracking area updates, etc. In an NGSO network, cell re-selection needs to be done frequently in idle mode. It is unclear how the UE would operate in the network if it cannot receive anything but a robust notification/alert channel from the serving cell. E.g., if the UE is unable to acquire the configuration of the robust notification/alert channel from system information when a new moving or quasi-Earth-fixed cell appears, is the configuration assumed to be the same in all cells? How does the UE synchronize to the network? How does the UE perform cell re-selection? How does the network know if the UE moves to a new tracking area? Is it possible to use DRX or should the UE continuously monitor the robust notification/alert channel?</w:t>
      </w:r>
    </w:p>
    <w:p w14:paraId="62EC2D3C" w14:textId="77777777" w:rsidR="00492F2D" w:rsidRPr="000757B7" w:rsidRDefault="00492F2D" w:rsidP="00492F2D">
      <w:pPr>
        <w:pStyle w:val="Observation"/>
        <w:ind w:left="1710" w:hanging="1710"/>
        <w:rPr>
          <w:lang w:val="en-GB"/>
        </w:rPr>
      </w:pPr>
      <w:bookmarkStart w:id="7" w:name="_Toc152606799"/>
      <w:r>
        <w:t xml:space="preserve">It is </w:t>
      </w:r>
      <w:r w:rsidRPr="00692EE6">
        <w:t>unclear</w:t>
      </w:r>
      <w:r>
        <w:t xml:space="preserve"> how the UE would operate in an NTN if it cannot receive SSB and system information from the serving cell, perform neighbour cell measurements, cell re-selection and tracking area updates, but only receive a robust notification/alert channel from the serving cell. The consequences need to be studied in detail before embarking on specification of such a channel.</w:t>
      </w:r>
      <w:bookmarkEnd w:id="7"/>
    </w:p>
    <w:p w14:paraId="1990343C" w14:textId="77777777" w:rsidR="00492F2D" w:rsidRDefault="00492F2D" w:rsidP="00492F2D">
      <w:pPr>
        <w:jc w:val="both"/>
        <w:rPr>
          <w:lang w:val="en-GB"/>
        </w:rPr>
      </w:pPr>
      <w:r>
        <w:rPr>
          <w:lang w:val="en-GB"/>
        </w:rPr>
        <w:t>Another clearly problematic issue is that, due to the lack of synchronization, it would not be possible to maintain synchronized DRX in the regular manner. To overcome this, either excessive channel monitoring (even continuous channel monitoring) by the UE, causing undesirably large energy consumption, or wasteful resource use when transmitting notification (</w:t>
      </w:r>
      <w:proofErr w:type="gramStart"/>
      <w:r>
        <w:rPr>
          <w:lang w:val="en-GB"/>
        </w:rPr>
        <w:t>e.g.</w:t>
      </w:r>
      <w:proofErr w:type="gramEnd"/>
      <w:r>
        <w:rPr>
          <w:lang w:val="en-GB"/>
        </w:rPr>
        <w:t xml:space="preserve"> repetitions during a long time) would be needed.</w:t>
      </w:r>
    </w:p>
    <w:p w14:paraId="4C30A8AE" w14:textId="77777777" w:rsidR="00492F2D" w:rsidRDefault="00492F2D" w:rsidP="00492F2D">
      <w:pPr>
        <w:pStyle w:val="Observation"/>
        <w:ind w:left="1710" w:hanging="1710"/>
      </w:pPr>
      <w:bookmarkStart w:id="8" w:name="_Toc152606800"/>
      <w:r>
        <w:t>The lack of synchronization makes regular DRX infeasible, implying the need for either energy-consuming excessive channel monitoring by the UE or wasteful resource usage for notification transmission.</w:t>
      </w:r>
      <w:bookmarkEnd w:id="8"/>
    </w:p>
    <w:p w14:paraId="01C3EE9C" w14:textId="77777777" w:rsidR="00492F2D" w:rsidRDefault="00492F2D" w:rsidP="00492F2D">
      <w:pPr>
        <w:jc w:val="both"/>
        <w:rPr>
          <w:lang w:val="en-GB"/>
        </w:rPr>
      </w:pPr>
      <w:r>
        <w:rPr>
          <w:lang w:val="en-GB"/>
        </w:rPr>
        <w:t>Due to the issues discussed above, handling clutter/body losses exceeding 8 dB will likely not be feasible, even if a new channel able to operate in lower SNR is defined.</w:t>
      </w:r>
    </w:p>
    <w:p w14:paraId="54A59084" w14:textId="77777777" w:rsidR="00492F2D" w:rsidRDefault="00492F2D" w:rsidP="00492F2D">
      <w:pPr>
        <w:jc w:val="both"/>
        <w:rPr>
          <w:lang w:val="en-GB"/>
        </w:rPr>
      </w:pPr>
      <w:r>
        <w:rPr>
          <w:lang w:val="en-GB"/>
        </w:rPr>
        <w:t>In another Rel-19 objective, general DL coverage enhancements for NTN will potentially be studied. This might include coverage enhancements for the existing channels used for paging, i.e., PDCCH and PDSCH. If the coverage of PDCCH/PDSCH used for paging is enhanced to be on par with existing SSB coverage, there is no need for a new notification/alert channel. Therefore, the work item objective should include a study phase, during which the coverage performance of a potential new notification/alert channel as well as coverage enhancements of existing PDCCH/PDSCH are compared to the coverage performance of SSB.</w:t>
      </w:r>
    </w:p>
    <w:p w14:paraId="6EA5FA7C" w14:textId="77777777" w:rsidR="00492F2D" w:rsidRPr="00F57E0F" w:rsidRDefault="00492F2D" w:rsidP="00492F2D">
      <w:pPr>
        <w:pStyle w:val="Proposal"/>
        <w:rPr>
          <w:lang w:val="en-GB"/>
        </w:rPr>
      </w:pPr>
      <w:r w:rsidRPr="00E2532D">
        <w:rPr>
          <w:lang w:val="en-GB"/>
        </w:rPr>
        <w:t>Reuse of legacy SSB for synchronization should be a</w:t>
      </w:r>
      <w:r>
        <w:rPr>
          <w:lang w:val="en-GB"/>
        </w:rPr>
        <w:t>ssumed.</w:t>
      </w:r>
    </w:p>
    <w:p w14:paraId="7087526B" w14:textId="77777777" w:rsidR="00492F2D" w:rsidRDefault="00492F2D" w:rsidP="00492F2D">
      <w:pPr>
        <w:pStyle w:val="Proposal"/>
        <w:rPr>
          <w:lang w:val="en-GB"/>
        </w:rPr>
      </w:pPr>
      <w:r>
        <w:rPr>
          <w:lang w:val="en-GB"/>
        </w:rPr>
        <w:t>C</w:t>
      </w:r>
      <w:r w:rsidRPr="00387BB1">
        <w:rPr>
          <w:lang w:val="en-GB"/>
        </w:rPr>
        <w:t xml:space="preserve">overage </w:t>
      </w:r>
      <w:r>
        <w:rPr>
          <w:lang w:val="en-GB"/>
        </w:rPr>
        <w:t xml:space="preserve">of a potential new notification/alert channel should not go </w:t>
      </w:r>
      <w:r w:rsidRPr="00387BB1">
        <w:rPr>
          <w:lang w:val="en-GB"/>
        </w:rPr>
        <w:t xml:space="preserve">beyond </w:t>
      </w:r>
      <w:r>
        <w:rPr>
          <w:lang w:val="en-GB"/>
        </w:rPr>
        <w:t xml:space="preserve">legacy </w:t>
      </w:r>
      <w:r w:rsidRPr="00387BB1">
        <w:rPr>
          <w:lang w:val="en-GB"/>
        </w:rPr>
        <w:t>SSB coverage</w:t>
      </w:r>
      <w:r>
        <w:rPr>
          <w:lang w:val="en-GB"/>
        </w:rPr>
        <w:t>.</w:t>
      </w:r>
    </w:p>
    <w:p w14:paraId="1271B7F4" w14:textId="77777777" w:rsidR="00492F2D" w:rsidRDefault="00492F2D" w:rsidP="00492F2D">
      <w:pPr>
        <w:pStyle w:val="Proposal"/>
        <w:rPr>
          <w:lang w:val="en-GB"/>
        </w:rPr>
      </w:pPr>
      <w:r>
        <w:rPr>
          <w:lang w:val="en-GB"/>
        </w:rPr>
        <w:t xml:space="preserve">The work on robust notification/alert should start with a study phase. During the study phase, the coverage </w:t>
      </w:r>
      <w:r w:rsidRPr="002A64CE">
        <w:rPr>
          <w:lang w:val="en-GB"/>
        </w:rPr>
        <w:t xml:space="preserve">of </w:t>
      </w:r>
      <w:r>
        <w:rPr>
          <w:lang w:val="en-GB"/>
        </w:rPr>
        <w:t>a potential new notification/alert channel</w:t>
      </w:r>
      <w:r w:rsidRPr="00DE7E37">
        <w:t xml:space="preserve"> </w:t>
      </w:r>
      <w:r w:rsidRPr="00DE7E37">
        <w:rPr>
          <w:lang w:val="en-GB"/>
        </w:rPr>
        <w:t xml:space="preserve">as well as </w:t>
      </w:r>
      <w:r>
        <w:rPr>
          <w:lang w:val="en-GB"/>
        </w:rPr>
        <w:t xml:space="preserve">the </w:t>
      </w:r>
      <w:r w:rsidRPr="00DE7E37">
        <w:rPr>
          <w:lang w:val="en-GB"/>
        </w:rPr>
        <w:t xml:space="preserve">coverage of </w:t>
      </w:r>
      <w:r>
        <w:rPr>
          <w:lang w:val="en-GB"/>
        </w:rPr>
        <w:t xml:space="preserve">coverage enhanced </w:t>
      </w:r>
      <w:r w:rsidRPr="00DE7E37">
        <w:rPr>
          <w:lang w:val="en-GB"/>
        </w:rPr>
        <w:t>PDCCH/PDSCH</w:t>
      </w:r>
      <w:r>
        <w:rPr>
          <w:lang w:val="en-GB"/>
        </w:rPr>
        <w:t xml:space="preserve"> carrying regular paging should be</w:t>
      </w:r>
      <w:r w:rsidRPr="00DE7E37">
        <w:rPr>
          <w:lang w:val="en-GB"/>
        </w:rPr>
        <w:t xml:space="preserve"> compared </w:t>
      </w:r>
      <w:r>
        <w:rPr>
          <w:lang w:val="en-GB"/>
        </w:rPr>
        <w:t>with</w:t>
      </w:r>
      <w:r w:rsidRPr="00DE7E37">
        <w:rPr>
          <w:lang w:val="en-GB"/>
        </w:rPr>
        <w:t xml:space="preserve"> the coverage performance of SSB</w:t>
      </w:r>
      <w:r w:rsidRPr="002A64CE">
        <w:rPr>
          <w:lang w:val="en-GB"/>
        </w:rPr>
        <w:t xml:space="preserve">. </w:t>
      </w:r>
      <w:r>
        <w:rPr>
          <w:lang w:val="en-GB"/>
        </w:rPr>
        <w:t>A new notification/alert channel should be specified</w:t>
      </w:r>
      <w:r w:rsidRPr="002A64CE">
        <w:rPr>
          <w:lang w:val="en-GB"/>
        </w:rPr>
        <w:t xml:space="preserve"> only if relevant gains are shown</w:t>
      </w:r>
      <w:r>
        <w:rPr>
          <w:lang w:val="en-GB"/>
        </w:rPr>
        <w:t xml:space="preserve"> relative to coverage enhanced </w:t>
      </w:r>
      <w:r w:rsidRPr="00DE7E37">
        <w:rPr>
          <w:lang w:val="en-GB"/>
        </w:rPr>
        <w:t>PDCCH/PDSCH</w:t>
      </w:r>
      <w:r>
        <w:rPr>
          <w:lang w:val="en-GB"/>
        </w:rPr>
        <w:t xml:space="preserve"> carrying regular paging</w:t>
      </w:r>
      <w:r w:rsidRPr="002A64CE">
        <w:rPr>
          <w:lang w:val="en-GB"/>
        </w:rPr>
        <w:t>.</w:t>
      </w:r>
    </w:p>
    <w:p w14:paraId="2FAAC077" w14:textId="77777777" w:rsidR="00492F2D" w:rsidRDefault="00492F2D" w:rsidP="00492F2D">
      <w:pPr>
        <w:jc w:val="both"/>
        <w:rPr>
          <w:lang w:val="en-GB"/>
        </w:rPr>
      </w:pPr>
      <w:r>
        <w:rPr>
          <w:lang w:val="en-GB"/>
        </w:rPr>
        <w:t>Due to the actions required by the user in response to the notification/alert message, it is essential that the number of false alarms is minimized. In particular, the notification/alert message should uniquely identify the UE that is being paged.</w:t>
      </w:r>
    </w:p>
    <w:p w14:paraId="44A6713E" w14:textId="77777777" w:rsidR="00492F2D" w:rsidRPr="006E1A63" w:rsidRDefault="00492F2D" w:rsidP="00492F2D">
      <w:pPr>
        <w:pStyle w:val="Proposal"/>
      </w:pPr>
      <w:r>
        <w:t>The notification/alert message should uniquely identify the targeted UE, to avoid that users who are not targeted unnecessarily take actions to reduce clutter/body loss.</w:t>
      </w:r>
    </w:p>
    <w:p w14:paraId="40533376" w14:textId="570BDF66" w:rsidR="00492F2D" w:rsidRDefault="00E32C50" w:rsidP="00492F2D">
      <w:pPr>
        <w:pStyle w:val="Heading2"/>
      </w:pPr>
      <w:r>
        <w:t>A</w:t>
      </w:r>
      <w:r w:rsidR="00492F2D">
        <w:t>.3</w:t>
      </w:r>
      <w:r w:rsidR="00492F2D">
        <w:tab/>
        <w:t>Uplink Capacity Enhancements</w:t>
      </w:r>
    </w:p>
    <w:p w14:paraId="52EA0AD6" w14:textId="4899D044" w:rsidR="00492F2D" w:rsidRDefault="00492F2D" w:rsidP="00492F2D">
      <w:pPr>
        <w:jc w:val="both"/>
        <w:rPr>
          <w:lang w:val="en-GB" w:eastAsia="ja-JP"/>
        </w:rPr>
      </w:pPr>
      <w:r w:rsidRPr="003B1B5E">
        <w:rPr>
          <w:lang w:val="en-GB" w:eastAsia="ja-JP"/>
        </w:rPr>
        <w:t>The Rel-19 NR</w:t>
      </w:r>
      <w:r>
        <w:rPr>
          <w:lang w:val="en-GB" w:eastAsia="ja-JP"/>
        </w:rPr>
        <w:t xml:space="preserve"> </w:t>
      </w:r>
      <w:r w:rsidRPr="003B1B5E">
        <w:rPr>
          <w:lang w:val="en-GB" w:eastAsia="ja-JP"/>
        </w:rPr>
        <w:t xml:space="preserve">NTN evolution is considering with its scope “Uplink Capacity/Throughput Enhancement for NR NTN”. In relation with it, “Sub-PRB allocations per UE” and “Orthogonal Cover Codes (OCC)” were considered as candidate techniques to increase the uplink capacity, </w:t>
      </w:r>
      <w:r w:rsidR="00E24977">
        <w:rPr>
          <w:lang w:val="en-GB" w:eastAsia="ja-JP"/>
        </w:rPr>
        <w:t xml:space="preserve">with </w:t>
      </w:r>
      <w:r w:rsidRPr="003B1B5E">
        <w:rPr>
          <w:lang w:val="en-GB" w:eastAsia="ja-JP"/>
        </w:rPr>
        <w:t xml:space="preserve">OCC </w:t>
      </w:r>
      <w:r w:rsidR="00E24977">
        <w:rPr>
          <w:lang w:val="en-GB" w:eastAsia="ja-JP"/>
        </w:rPr>
        <w:t xml:space="preserve">being </w:t>
      </w:r>
      <w:r w:rsidRPr="003B1B5E">
        <w:rPr>
          <w:lang w:val="en-GB" w:eastAsia="ja-JP"/>
        </w:rPr>
        <w:t xml:space="preserve">the only one that remained part of the latest Rel-19 workshop discussions. Below we provide our view on </w:t>
      </w:r>
      <w:r w:rsidR="00E24977">
        <w:rPr>
          <w:lang w:val="en-GB" w:eastAsia="ja-JP"/>
        </w:rPr>
        <w:t>these</w:t>
      </w:r>
      <w:r w:rsidRPr="003B1B5E">
        <w:rPr>
          <w:lang w:val="en-GB" w:eastAsia="ja-JP"/>
        </w:rPr>
        <w:t xml:space="preserve"> candidate techniques.</w:t>
      </w:r>
    </w:p>
    <w:p w14:paraId="77AE8CD4" w14:textId="1D8E1DB2" w:rsidR="00492F2D" w:rsidRDefault="00E32C50" w:rsidP="00492F2D">
      <w:pPr>
        <w:pStyle w:val="Heading3"/>
      </w:pPr>
      <w:r>
        <w:t>A</w:t>
      </w:r>
      <w:r w:rsidR="00492F2D">
        <w:t>.3.1</w:t>
      </w:r>
      <w:r w:rsidR="00492F2D">
        <w:tab/>
        <w:t>View on “</w:t>
      </w:r>
      <w:r w:rsidR="00492F2D" w:rsidRPr="003B1B5E">
        <w:t>Orthogonal Cover Codes (OCC)</w:t>
      </w:r>
      <w:r w:rsidR="00492F2D">
        <w:t>”</w:t>
      </w:r>
    </w:p>
    <w:p w14:paraId="7E5DA017" w14:textId="77777777" w:rsidR="00492F2D" w:rsidRDefault="00492F2D" w:rsidP="00492F2D">
      <w:pPr>
        <w:rPr>
          <w:lang w:val="en-GB" w:eastAsia="ja-JP"/>
        </w:rPr>
      </w:pPr>
      <w:r w:rsidRPr="003B1B5E">
        <w:rPr>
          <w:lang w:val="en-GB" w:eastAsia="ja-JP"/>
        </w:rPr>
        <w:t>The latest version of the document reflecting the Rel-19 workshop discussions contains the following draft Rel-19 objective associated with the uplink capacity enhancements:</w:t>
      </w: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629"/>
      </w:tblGrid>
      <w:tr w:rsidR="00492F2D" w14:paraId="490FB1D4" w14:textId="77777777">
        <w:tc>
          <w:tcPr>
            <w:tcW w:w="9629" w:type="dxa"/>
          </w:tcPr>
          <w:p w14:paraId="68D394F4" w14:textId="77777777" w:rsidR="00492F2D" w:rsidRPr="003B1B5E" w:rsidRDefault="00492F2D">
            <w:pPr>
              <w:numPr>
                <w:ilvl w:val="0"/>
                <w:numId w:val="49"/>
              </w:numPr>
              <w:spacing w:after="0" w:line="252" w:lineRule="auto"/>
              <w:contextualSpacing/>
              <w:rPr>
                <w:rFonts w:ascii="Calibri" w:eastAsia="Calibri" w:hAnsi="Calibri" w:cs="Times New Roman"/>
                <w:sz w:val="14"/>
                <w:szCs w:val="14"/>
              </w:rPr>
            </w:pPr>
            <w:r w:rsidRPr="003B1B5E">
              <w:rPr>
                <w:rFonts w:ascii="CG Times (WN)" w:eastAsia="Times New Roman" w:hAnsi="CG Times (WN)" w:cs="Times New Roman"/>
                <w:sz w:val="14"/>
                <w:szCs w:val="12"/>
                <w:lang w:eastAsia="en-GB"/>
              </w:rPr>
              <w:t xml:space="preserve">Study then specify, </w:t>
            </w:r>
            <w:r w:rsidRPr="003B1B5E">
              <w:rPr>
                <w:rFonts w:ascii="CG Times (WN)" w:eastAsia="Times New Roman" w:hAnsi="CG Times (WN)" w:cs="Times New Roman"/>
                <w:sz w:val="14"/>
                <w:szCs w:val="12"/>
                <w:highlight w:val="yellow"/>
                <w:lang w:eastAsia="en-GB"/>
              </w:rPr>
              <w:t>if beneficial</w:t>
            </w:r>
            <w:r w:rsidRPr="003B1B5E">
              <w:rPr>
                <w:rFonts w:ascii="CG Times (WN)" w:eastAsia="Times New Roman" w:hAnsi="CG Times (WN)" w:cs="Times New Roman"/>
                <w:sz w:val="14"/>
                <w:szCs w:val="12"/>
                <w:lang w:eastAsia="en-GB"/>
              </w:rPr>
              <w:t xml:space="preserve">, DFT-s-OFDM PUSCH enhancements via Orthogonal Cover Codes (OCC) including initial access [RAN1], with an attempt to minimise impact on </w:t>
            </w:r>
            <w:proofErr w:type="gramStart"/>
            <w:r w:rsidRPr="003B1B5E">
              <w:rPr>
                <w:rFonts w:ascii="CG Times (WN)" w:eastAsia="Times New Roman" w:hAnsi="CG Times (WN)" w:cs="Times New Roman"/>
                <w:sz w:val="14"/>
                <w:szCs w:val="12"/>
                <w:lang w:eastAsia="en-GB"/>
              </w:rPr>
              <w:t>emissions :</w:t>
            </w:r>
            <w:proofErr w:type="gramEnd"/>
          </w:p>
          <w:p w14:paraId="1806458F" w14:textId="77777777" w:rsidR="00492F2D" w:rsidRPr="003B1B5E" w:rsidRDefault="00492F2D">
            <w:pPr>
              <w:numPr>
                <w:ilvl w:val="1"/>
                <w:numId w:val="49"/>
              </w:numPr>
              <w:spacing w:after="0" w:line="252" w:lineRule="auto"/>
              <w:contextualSpacing/>
              <w:rPr>
                <w:rFonts w:ascii="CG Times (WN)" w:eastAsia="Times New Roman" w:hAnsi="CG Times (WN)" w:cs="Times New Roman"/>
                <w:sz w:val="14"/>
                <w:szCs w:val="12"/>
                <w:lang w:eastAsia="en-GB"/>
              </w:rPr>
            </w:pPr>
            <w:r w:rsidRPr="003B1B5E">
              <w:rPr>
                <w:rFonts w:ascii="CG Times (WN)" w:eastAsia="Times New Roman" w:hAnsi="CG Times (WN)" w:cs="Times New Roman"/>
                <w:sz w:val="14"/>
                <w:szCs w:val="12"/>
                <w:lang w:eastAsia="en-GB"/>
              </w:rPr>
              <w:t>Determine the potential capacity improvement (at least 2 times and not more than 12 times compared to legacy) to be targeted taking into account realistic impairements (</w:t>
            </w:r>
            <w:proofErr w:type="gramStart"/>
            <w:r w:rsidRPr="003B1B5E">
              <w:rPr>
                <w:rFonts w:ascii="CG Times (WN)" w:eastAsia="Times New Roman" w:hAnsi="CG Times (WN)" w:cs="Times New Roman"/>
                <w:sz w:val="14"/>
                <w:szCs w:val="12"/>
                <w:lang w:eastAsia="en-GB"/>
              </w:rPr>
              <w:t>e.g.</w:t>
            </w:r>
            <w:proofErr w:type="gramEnd"/>
            <w:r w:rsidRPr="003B1B5E">
              <w:rPr>
                <w:rFonts w:ascii="CG Times (WN)" w:eastAsia="Times New Roman" w:hAnsi="CG Times (WN)" w:cs="Times New Roman"/>
                <w:sz w:val="14"/>
                <w:szCs w:val="12"/>
                <w:lang w:eastAsia="en-GB"/>
              </w:rPr>
              <w:t xml:space="preserve"> Doppler, time variation, phase distortion) [RAN1]</w:t>
            </w:r>
          </w:p>
          <w:p w14:paraId="43A74E86" w14:textId="77777777" w:rsidR="00492F2D" w:rsidRPr="003B1B5E" w:rsidRDefault="00492F2D">
            <w:pPr>
              <w:numPr>
                <w:ilvl w:val="1"/>
                <w:numId w:val="49"/>
              </w:numPr>
              <w:spacing w:after="0" w:line="252" w:lineRule="auto"/>
              <w:contextualSpacing/>
              <w:rPr>
                <w:rFonts w:ascii="CG Times (WN)" w:eastAsia="Times New Roman" w:hAnsi="CG Times (WN)" w:cs="Times New Roman"/>
                <w:sz w:val="14"/>
                <w:szCs w:val="12"/>
                <w:lang w:eastAsia="en-GB"/>
              </w:rPr>
            </w:pPr>
            <w:r w:rsidRPr="003B1B5E">
              <w:rPr>
                <w:rFonts w:ascii="CG Times (WN)" w:eastAsia="Times New Roman" w:hAnsi="CG Times (WN)" w:cs="Times New Roman"/>
                <w:sz w:val="14"/>
                <w:szCs w:val="12"/>
                <w:lang w:eastAsia="en-GB"/>
              </w:rPr>
              <w:t>Specify necessary signalling, if needed [RAN2]</w:t>
            </w:r>
          </w:p>
          <w:p w14:paraId="047C40C7" w14:textId="77777777" w:rsidR="00492F2D" w:rsidRPr="003B1B5E" w:rsidRDefault="00492F2D">
            <w:pPr>
              <w:numPr>
                <w:ilvl w:val="1"/>
                <w:numId w:val="49"/>
              </w:numPr>
              <w:spacing w:after="0" w:line="252" w:lineRule="auto"/>
              <w:contextualSpacing/>
              <w:rPr>
                <w:rFonts w:ascii="CG Times (WN)" w:eastAsia="Times New Roman" w:hAnsi="CG Times (WN)" w:cs="Times New Roman"/>
                <w:sz w:val="14"/>
                <w:szCs w:val="12"/>
                <w:lang w:eastAsia="en-GB"/>
              </w:rPr>
            </w:pPr>
            <w:r w:rsidRPr="003B1B5E">
              <w:rPr>
                <w:rFonts w:ascii="CG Times (WN)" w:eastAsia="Times New Roman" w:hAnsi="CG Times (WN)" w:cs="Times New Roman"/>
                <w:sz w:val="14"/>
                <w:szCs w:val="12"/>
                <w:lang w:eastAsia="en-GB"/>
              </w:rPr>
              <w:t xml:space="preserve">Update RF requirements accordingly if needed [RAN4]. </w:t>
            </w:r>
          </w:p>
          <w:p w14:paraId="2DCDBA75" w14:textId="77777777" w:rsidR="00492F2D" w:rsidRPr="003B1B5E" w:rsidRDefault="00492F2D">
            <w:pPr>
              <w:numPr>
                <w:ilvl w:val="1"/>
                <w:numId w:val="49"/>
              </w:numPr>
              <w:spacing w:after="0" w:line="252" w:lineRule="auto"/>
              <w:contextualSpacing/>
              <w:rPr>
                <w:rFonts w:ascii="CG Times (WN)" w:eastAsia="Times New Roman" w:hAnsi="CG Times (WN)" w:cs="Times New Roman"/>
                <w:sz w:val="14"/>
                <w:szCs w:val="12"/>
                <w:lang w:eastAsia="en-GB"/>
              </w:rPr>
            </w:pPr>
            <w:proofErr w:type="gramStart"/>
            <w:r w:rsidRPr="003B1B5E">
              <w:rPr>
                <w:rFonts w:ascii="CG Times (WN)" w:eastAsia="Times New Roman" w:hAnsi="CG Times (WN)" w:cs="Times New Roman"/>
                <w:sz w:val="14"/>
                <w:szCs w:val="12"/>
                <w:lang w:eastAsia="en-GB"/>
              </w:rPr>
              <w:t>Note :</w:t>
            </w:r>
            <w:proofErr w:type="gramEnd"/>
            <w:r w:rsidRPr="003B1B5E">
              <w:rPr>
                <w:rFonts w:ascii="CG Times (WN)" w:eastAsia="Times New Roman" w:hAnsi="CG Times (WN)" w:cs="Times New Roman"/>
                <w:sz w:val="14"/>
                <w:szCs w:val="12"/>
                <w:lang w:eastAsia="en-GB"/>
              </w:rPr>
              <w:t xml:space="preserve"> The orthogonal cover codes are across OFDM symbols </w:t>
            </w:r>
            <w:r w:rsidRPr="003B1B5E">
              <w:rPr>
                <w:rFonts w:ascii="CG Times (WN)" w:eastAsia="Times New Roman" w:hAnsi="CG Times (WN)" w:cs="Times New Roman"/>
                <w:sz w:val="14"/>
                <w:szCs w:val="12"/>
                <w:highlight w:val="yellow"/>
                <w:lang w:eastAsia="en-GB"/>
              </w:rPr>
              <w:t>and/or within an OFDM symbol</w:t>
            </w:r>
            <w:r w:rsidRPr="003B1B5E">
              <w:rPr>
                <w:rFonts w:ascii="CG Times (WN)" w:eastAsia="Times New Roman" w:hAnsi="CG Times (WN)" w:cs="Times New Roman"/>
                <w:sz w:val="14"/>
                <w:szCs w:val="12"/>
                <w:lang w:eastAsia="en-GB"/>
              </w:rPr>
              <w:t>.</w:t>
            </w:r>
          </w:p>
          <w:p w14:paraId="4876DBC4" w14:textId="77777777" w:rsidR="00492F2D" w:rsidRPr="003B1B5E" w:rsidRDefault="00492F2D">
            <w:pPr>
              <w:numPr>
                <w:ilvl w:val="0"/>
                <w:numId w:val="49"/>
              </w:numPr>
              <w:spacing w:after="0" w:line="252" w:lineRule="auto"/>
              <w:contextualSpacing/>
              <w:rPr>
                <w:rFonts w:ascii="CG Times (WN)" w:eastAsia="Times New Roman" w:hAnsi="CG Times (WN)" w:cs="Times New Roman"/>
                <w:sz w:val="14"/>
                <w:szCs w:val="12"/>
                <w:highlight w:val="yellow"/>
                <w:lang w:eastAsia="en-GB"/>
              </w:rPr>
            </w:pPr>
            <w:r w:rsidRPr="003B1B5E">
              <w:rPr>
                <w:rFonts w:ascii="CG Times (WN)" w:eastAsia="Times New Roman" w:hAnsi="CG Times (WN)" w:cs="Times New Roman"/>
                <w:sz w:val="14"/>
                <w:szCs w:val="12"/>
                <w:highlight w:val="yellow"/>
                <w:lang w:eastAsia="en-GB"/>
              </w:rPr>
              <w:t>Study and specified if needed, sporadic access (</w:t>
            </w:r>
            <w:proofErr w:type="gramStart"/>
            <w:r w:rsidRPr="003B1B5E">
              <w:rPr>
                <w:rFonts w:ascii="CG Times (WN)" w:eastAsia="Times New Roman" w:hAnsi="CG Times (WN)" w:cs="Times New Roman"/>
                <w:sz w:val="14"/>
                <w:szCs w:val="12"/>
                <w:highlight w:val="yellow"/>
                <w:lang w:eastAsia="en-GB"/>
              </w:rPr>
              <w:t>i.e.</w:t>
            </w:r>
            <w:proofErr w:type="gramEnd"/>
            <w:r w:rsidRPr="003B1B5E">
              <w:rPr>
                <w:rFonts w:ascii="CG Times (WN)" w:eastAsia="Times New Roman" w:hAnsi="CG Times (WN)" w:cs="Times New Roman"/>
                <w:sz w:val="14"/>
                <w:szCs w:val="12"/>
                <w:highlight w:val="yellow"/>
                <w:lang w:eastAsia="en-GB"/>
              </w:rPr>
              <w:t xml:space="preserve"> contention based PUSCH) to a pool of shared resources [RAN1/2]</w:t>
            </w:r>
          </w:p>
          <w:p w14:paraId="12D9D010" w14:textId="77777777" w:rsidR="00492F2D" w:rsidRDefault="00492F2D">
            <w:pPr>
              <w:rPr>
                <w:lang w:val="en-GB" w:eastAsia="ja-JP"/>
              </w:rPr>
            </w:pPr>
            <w:r w:rsidRPr="003B1B5E">
              <w:rPr>
                <w:rFonts w:ascii="Calibri" w:eastAsia="Calibri" w:hAnsi="Calibri" w:cs="Times New Roman"/>
                <w:sz w:val="14"/>
                <w:szCs w:val="14"/>
                <w:highlight w:val="yellow"/>
              </w:rPr>
              <w:t>FFS PUCCH enhancements, if needed [RAN1]</w:t>
            </w:r>
          </w:p>
        </w:tc>
      </w:tr>
    </w:tbl>
    <w:p w14:paraId="7A25FECF" w14:textId="77777777" w:rsidR="00492F2D" w:rsidRDefault="00492F2D" w:rsidP="00492F2D">
      <w:pPr>
        <w:rPr>
          <w:lang w:val="en-GB" w:eastAsia="ja-JP"/>
        </w:rPr>
      </w:pPr>
    </w:p>
    <w:p w14:paraId="1EAD4183" w14:textId="77777777" w:rsidR="00492F2D" w:rsidRDefault="00492F2D" w:rsidP="00492F2D">
      <w:pPr>
        <w:jc w:val="both"/>
        <w:rPr>
          <w:lang w:val="en-GB" w:eastAsia="ja-JP"/>
        </w:rPr>
      </w:pPr>
      <w:r w:rsidRPr="00393E21">
        <w:rPr>
          <w:lang w:val="en-GB" w:eastAsia="ja-JP"/>
        </w:rPr>
        <w:t>Increasing the uplink capacity of PUSCH using orthogonal cover codes might not be that straightforward in an NTN</w:t>
      </w:r>
      <w:r>
        <w:rPr>
          <w:lang w:val="en-GB" w:eastAsia="ja-JP"/>
        </w:rPr>
        <w:t xml:space="preserve"> </w:t>
      </w:r>
      <w:r w:rsidRPr="00393E21">
        <w:rPr>
          <w:lang w:val="en-GB" w:eastAsia="ja-JP"/>
        </w:rPr>
        <w:t>environment, because the orthogonality needs to be preserved upon being subject to Doppler shift distortions, phase distortions, and yet the orthogonality would have to be preserved across two links (i.e., service link and feeder link)</w:t>
      </w:r>
      <w:r>
        <w:rPr>
          <w:lang w:val="en-GB" w:eastAsia="ja-JP"/>
        </w:rPr>
        <w:t>. T</w:t>
      </w:r>
      <w:r w:rsidRPr="00393E21">
        <w:rPr>
          <w:lang w:val="en-GB" w:eastAsia="ja-JP"/>
        </w:rPr>
        <w:t>herefore</w:t>
      </w:r>
      <w:r>
        <w:rPr>
          <w:lang w:val="en-GB" w:eastAsia="ja-JP"/>
        </w:rPr>
        <w:t>,</w:t>
      </w:r>
      <w:r w:rsidRPr="00393E21">
        <w:rPr>
          <w:lang w:val="en-GB" w:eastAsia="ja-JP"/>
        </w:rPr>
        <w:t xml:space="preserve"> a study needs to be performed first as to evaluate the feasibility of this technique before specifying it</w:t>
      </w:r>
      <w:r>
        <w:rPr>
          <w:lang w:val="en-GB" w:eastAsia="ja-JP"/>
        </w:rPr>
        <w:t>.</w:t>
      </w:r>
    </w:p>
    <w:p w14:paraId="77B7113C" w14:textId="77777777" w:rsidR="00492F2D" w:rsidRDefault="00492F2D" w:rsidP="00492F2D">
      <w:pPr>
        <w:jc w:val="both"/>
        <w:rPr>
          <w:lang w:val="en-GB" w:eastAsia="ja-JP"/>
        </w:rPr>
      </w:pPr>
      <w:r w:rsidRPr="003B1B5E">
        <w:t>The increase in uplink capacity has tentatively considered as lower and upper limits “at least 2 times and not more than 12 times compared to legacy”. On this matter, since PDCCH is required to schedule PUSCH</w:t>
      </w:r>
      <w:r>
        <w:t>,</w:t>
      </w:r>
      <w:r w:rsidRPr="003B1B5E">
        <w:t xml:space="preserve"> an increase in uplink capacity might result in a PDCCH bottleneck. Thus</w:t>
      </w:r>
      <w:r>
        <w:t>,</w:t>
      </w:r>
      <w:r w:rsidRPr="003B1B5E">
        <w:t xml:space="preserve"> either the UL capacity cannot be increased much as to avoid a DL bottle</w:t>
      </w:r>
      <w:r>
        <w:t>neck</w:t>
      </w:r>
      <w:r w:rsidRPr="003B1B5E">
        <w:t xml:space="preserve"> problem, or a solution needs to be found for DL</w:t>
      </w:r>
      <w:r>
        <w:t xml:space="preserve"> as well</w:t>
      </w:r>
      <w:r w:rsidRPr="003B1B5E">
        <w:t xml:space="preserve">. Moreover, it also needs to be considered that a significant increase in </w:t>
      </w:r>
      <w:r>
        <w:t xml:space="preserve">UL </w:t>
      </w:r>
      <w:r w:rsidRPr="003B1B5E">
        <w:t>capacity adds complexity to the network’s scheduler. Those aspects also need to be studied.</w:t>
      </w:r>
    </w:p>
    <w:p w14:paraId="451D120C" w14:textId="77777777" w:rsidR="00492F2D" w:rsidRDefault="00492F2D" w:rsidP="00492F2D">
      <w:pPr>
        <w:pStyle w:val="Observation"/>
        <w:ind w:left="1710" w:hanging="1710"/>
      </w:pPr>
      <w:bookmarkStart w:id="9" w:name="_Toc152606801"/>
      <w:r w:rsidRPr="003B1B5E">
        <w:lastRenderedPageBreak/>
        <w:t xml:space="preserve">Increasing the </w:t>
      </w:r>
      <w:r>
        <w:t>UL</w:t>
      </w:r>
      <w:r w:rsidRPr="003B1B5E">
        <w:t xml:space="preserve"> capacity of PUSCH using </w:t>
      </w:r>
      <w:r>
        <w:t>OCC</w:t>
      </w:r>
      <w:r w:rsidRPr="003B1B5E">
        <w:t xml:space="preserve"> might not be that straightforward in an NTN</w:t>
      </w:r>
      <w:r>
        <w:t xml:space="preserve"> </w:t>
      </w:r>
      <w:r w:rsidRPr="003B1B5E">
        <w:t xml:space="preserve">environment, </w:t>
      </w:r>
      <w:r>
        <w:t xml:space="preserve">because </w:t>
      </w:r>
      <w:r w:rsidRPr="003B1B5E">
        <w:t>the orthogonality needs to be preserved upon being subject to Doppler shift distortions, phase distortions, and yet the orthogonality would have to be preserved across two links (i.e., service link and feeder link)</w:t>
      </w:r>
      <w:r>
        <w:t>.</w:t>
      </w:r>
      <w:r w:rsidRPr="003B1B5E">
        <w:t xml:space="preserve"> </w:t>
      </w:r>
      <w:r>
        <w:t>T</w:t>
      </w:r>
      <w:r w:rsidRPr="003B1B5E">
        <w:t>herefore</w:t>
      </w:r>
      <w:r>
        <w:t>,</w:t>
      </w:r>
      <w:r w:rsidRPr="003B1B5E">
        <w:t xml:space="preserve"> a study needs to be performed before specifying it.</w:t>
      </w:r>
      <w:bookmarkEnd w:id="9"/>
    </w:p>
    <w:p w14:paraId="074A3BE4" w14:textId="77777777" w:rsidR="00492F2D" w:rsidRDefault="00492F2D" w:rsidP="00492F2D">
      <w:pPr>
        <w:pStyle w:val="Observation"/>
        <w:ind w:left="1710" w:hanging="1710"/>
      </w:pPr>
      <w:bookmarkStart w:id="10" w:name="_Toc152606802"/>
      <w:r w:rsidRPr="003B1B5E">
        <w:t xml:space="preserve">The </w:t>
      </w:r>
      <w:r>
        <w:t>UL</w:t>
      </w:r>
      <w:r w:rsidRPr="003B1B5E">
        <w:t xml:space="preserve"> capacity has tentatively considered </w:t>
      </w:r>
      <w:r>
        <w:t>to be increased</w:t>
      </w:r>
      <w:r w:rsidRPr="003B1B5E">
        <w:t xml:space="preserve"> </w:t>
      </w:r>
      <w:r>
        <w:t>by</w:t>
      </w:r>
      <w:r w:rsidRPr="003B1B5E">
        <w:t xml:space="preserve"> “at least 2 times and not more than 12 times compared to legacy”. </w:t>
      </w:r>
      <w:r>
        <w:t>However,</w:t>
      </w:r>
      <w:r w:rsidRPr="003B1B5E">
        <w:t xml:space="preserve"> an increase in uplink capacity might result in a PDCCH bottleneck. Thus</w:t>
      </w:r>
      <w:r>
        <w:t>,</w:t>
      </w:r>
      <w:r w:rsidRPr="003B1B5E">
        <w:t xml:space="preserve"> either the UL capacity cannot be increased much as to avoid a DL bottle</w:t>
      </w:r>
      <w:r>
        <w:t>neck</w:t>
      </w:r>
      <w:r w:rsidRPr="003B1B5E">
        <w:t xml:space="preserve"> problem, or a solution needs to be found for DL</w:t>
      </w:r>
      <w:r>
        <w:t xml:space="preserve"> as well</w:t>
      </w:r>
      <w:r w:rsidRPr="003B1B5E">
        <w:t xml:space="preserve">. </w:t>
      </w:r>
      <w:bookmarkEnd w:id="10"/>
    </w:p>
    <w:p w14:paraId="45E85206" w14:textId="77777777" w:rsidR="00492F2D" w:rsidRPr="003B1B5E" w:rsidRDefault="00492F2D" w:rsidP="00492F2D">
      <w:pPr>
        <w:pStyle w:val="Observation"/>
        <w:ind w:left="1710" w:hanging="1710"/>
      </w:pPr>
      <w:bookmarkStart w:id="11" w:name="_Toc152606803"/>
      <w:r>
        <w:t>For the potential increase in capacity</w:t>
      </w:r>
      <w:r w:rsidRPr="003B1B5E">
        <w:t xml:space="preserve">, it also needs to be considered that a significant increase in </w:t>
      </w:r>
      <w:r>
        <w:t>UL</w:t>
      </w:r>
      <w:r w:rsidRPr="003B1B5E">
        <w:t xml:space="preserve"> capacity adds complexity to the network’s scheduler</w:t>
      </w:r>
      <w:r>
        <w:t xml:space="preserve">, which is an </w:t>
      </w:r>
      <w:r w:rsidRPr="003B1B5E">
        <w:t>aspect</w:t>
      </w:r>
      <w:r>
        <w:t xml:space="preserve"> that</w:t>
      </w:r>
      <w:r w:rsidRPr="003B1B5E">
        <w:t xml:space="preserve"> also need to be </w:t>
      </w:r>
      <w:r>
        <w:t>considered/</w:t>
      </w:r>
      <w:r w:rsidRPr="003B1B5E">
        <w:t>studied.</w:t>
      </w:r>
      <w:bookmarkEnd w:id="11"/>
    </w:p>
    <w:p w14:paraId="7C9F92DB" w14:textId="2F917F5E" w:rsidR="00492F2D" w:rsidRDefault="004579B6" w:rsidP="00492F2D">
      <w:pPr>
        <w:pStyle w:val="Proposal"/>
        <w:rPr>
          <w:lang w:val="en-GB"/>
        </w:rPr>
      </w:pPr>
      <w:r w:rsidRPr="00393E21">
        <w:rPr>
          <w:lang w:val="en-GB" w:eastAsia="ja-JP"/>
        </w:rPr>
        <w:t xml:space="preserve">Increasing the uplink capacity of PUSCH using orthogonal cover codes </w:t>
      </w:r>
      <w:r w:rsidR="00492F2D" w:rsidRPr="003B1B5E">
        <w:rPr>
          <w:lang w:val="en-GB"/>
        </w:rPr>
        <w:t>(OCC)</w:t>
      </w:r>
      <w:r w:rsidR="00792356">
        <w:rPr>
          <w:lang w:val="en-GB"/>
        </w:rPr>
        <w:t xml:space="preserve"> </w:t>
      </w:r>
      <w:r w:rsidR="00404652">
        <w:rPr>
          <w:lang w:val="en-GB"/>
        </w:rPr>
        <w:t>is not</w:t>
      </w:r>
      <w:r w:rsidR="00D32D33">
        <w:rPr>
          <w:lang w:val="en-GB"/>
        </w:rPr>
        <w:t xml:space="preserve"> considered as</w:t>
      </w:r>
      <w:r w:rsidR="00404652">
        <w:rPr>
          <w:lang w:val="en-GB"/>
        </w:rPr>
        <w:t xml:space="preserve"> </w:t>
      </w:r>
      <w:r w:rsidR="00605E4A" w:rsidRPr="00AB5E83">
        <w:rPr>
          <w:lang w:val="en-GB"/>
        </w:rPr>
        <w:t xml:space="preserve">part of the Rel-19 </w:t>
      </w:r>
      <w:r w:rsidR="00327E3D">
        <w:rPr>
          <w:lang w:val="en-GB"/>
        </w:rPr>
        <w:t>NR NTN WI</w:t>
      </w:r>
      <w:r w:rsidR="00605E4A" w:rsidRPr="00AB5E83">
        <w:rPr>
          <w:lang w:val="en-GB"/>
        </w:rPr>
        <w:t>.</w:t>
      </w:r>
    </w:p>
    <w:p w14:paraId="10D1E43B" w14:textId="1483D168" w:rsidR="00492F2D" w:rsidRDefault="00E32C50" w:rsidP="00492F2D">
      <w:pPr>
        <w:pStyle w:val="Heading3"/>
      </w:pPr>
      <w:r>
        <w:t>A</w:t>
      </w:r>
      <w:r w:rsidR="00492F2D">
        <w:t>.3.2</w:t>
      </w:r>
      <w:r w:rsidR="00492F2D">
        <w:tab/>
        <w:t>View on “</w:t>
      </w:r>
      <w:r w:rsidR="00492F2D" w:rsidRPr="003B1B5E">
        <w:t>Sub-PRB allocations per UE</w:t>
      </w:r>
      <w:r w:rsidR="00492F2D">
        <w:t>”</w:t>
      </w:r>
    </w:p>
    <w:p w14:paraId="5F2D6AE5" w14:textId="77777777" w:rsidR="00492F2D" w:rsidRPr="00835513" w:rsidRDefault="00492F2D" w:rsidP="00492F2D">
      <w:pPr>
        <w:rPr>
          <w:lang w:val="en-GB" w:eastAsia="ja-JP"/>
        </w:rPr>
      </w:pPr>
      <w:r>
        <w:rPr>
          <w:lang w:val="en-GB" w:eastAsia="ja-JP"/>
        </w:rPr>
        <w:t>The</w:t>
      </w:r>
      <w:r w:rsidRPr="00835513">
        <w:rPr>
          <w:lang w:val="en-GB" w:eastAsia="ja-JP"/>
        </w:rPr>
        <w:t xml:space="preserve"> support of “Sub-PRB allocations per UE” for NR</w:t>
      </w:r>
      <w:r>
        <w:rPr>
          <w:lang w:val="en-GB" w:eastAsia="ja-JP"/>
        </w:rPr>
        <w:t xml:space="preserve"> </w:t>
      </w:r>
      <w:r w:rsidRPr="00835513">
        <w:rPr>
          <w:lang w:val="en-GB" w:eastAsia="ja-JP"/>
        </w:rPr>
        <w:t xml:space="preserve">NTN is foreseen to result in </w:t>
      </w:r>
      <w:r>
        <w:rPr>
          <w:lang w:val="en-GB" w:eastAsia="ja-JP"/>
        </w:rPr>
        <w:t>major</w:t>
      </w:r>
      <w:r w:rsidRPr="00835513">
        <w:rPr>
          <w:lang w:val="en-GB" w:eastAsia="ja-JP"/>
        </w:rPr>
        <w:t xml:space="preserve"> RAN1 specification impacts:</w:t>
      </w:r>
    </w:p>
    <w:p w14:paraId="6C6ACD9F" w14:textId="77777777" w:rsidR="00492F2D" w:rsidRPr="00835513" w:rsidRDefault="00492F2D" w:rsidP="00492F2D">
      <w:pPr>
        <w:pStyle w:val="BodyText"/>
        <w:numPr>
          <w:ilvl w:val="0"/>
          <w:numId w:val="46"/>
        </w:numPr>
        <w:overflowPunct w:val="0"/>
        <w:autoSpaceDE w:val="0"/>
        <w:autoSpaceDN w:val="0"/>
        <w:adjustRightInd w:val="0"/>
        <w:spacing w:line="240" w:lineRule="auto"/>
        <w:textAlignment w:val="baseline"/>
        <w:rPr>
          <w:lang w:val="en-GB" w:eastAsia="ja-JP"/>
        </w:rPr>
      </w:pPr>
      <w:r w:rsidRPr="00835513">
        <w:rPr>
          <w:lang w:val="en-GB" w:eastAsia="ja-JP"/>
        </w:rPr>
        <w:t>Resource Unit (RU): For sub-PRB, the RU length as a function of the number of allocated subcarriers would have to be captured through introducing e.g., a new sub-clause under clause 4.4 (Physical Resources) in TS 38.211, and through a new sub-clause under clause 6.1.2 (resource allocation) in TS 38.214.</w:t>
      </w:r>
    </w:p>
    <w:p w14:paraId="585F4552" w14:textId="77777777" w:rsidR="00492F2D" w:rsidRPr="00835513" w:rsidRDefault="00492F2D" w:rsidP="00492F2D">
      <w:pPr>
        <w:pStyle w:val="BodyText"/>
        <w:numPr>
          <w:ilvl w:val="0"/>
          <w:numId w:val="46"/>
        </w:numPr>
        <w:overflowPunct w:val="0"/>
        <w:autoSpaceDE w:val="0"/>
        <w:autoSpaceDN w:val="0"/>
        <w:adjustRightInd w:val="0"/>
        <w:spacing w:line="240" w:lineRule="auto"/>
        <w:textAlignment w:val="baseline"/>
        <w:rPr>
          <w:lang w:val="en-GB" w:eastAsia="ja-JP"/>
        </w:rPr>
      </w:pPr>
      <w:r w:rsidRPr="00835513">
        <w:rPr>
          <w:lang w:val="en-GB" w:eastAsia="ja-JP"/>
        </w:rPr>
        <w:t xml:space="preserve">Number of allocated subcarriers: It would have to be discussed and decided whether single-tone and/or </w:t>
      </w:r>
      <w:r>
        <w:rPr>
          <w:lang w:val="en-GB" w:eastAsia="ja-JP"/>
        </w:rPr>
        <w:t>m</w:t>
      </w:r>
      <w:r w:rsidRPr="00835513">
        <w:rPr>
          <w:lang w:val="en-GB" w:eastAsia="ja-JP"/>
        </w:rPr>
        <w:t>ulti-tone allocations would be supported. Moreover, the RU length depends on the number of allocated subcarriers</w:t>
      </w:r>
      <w:r>
        <w:rPr>
          <w:lang w:val="en-GB" w:eastAsia="ja-JP"/>
        </w:rPr>
        <w:t>. T</w:t>
      </w:r>
      <w:r w:rsidRPr="00835513">
        <w:rPr>
          <w:lang w:val="en-GB" w:eastAsia="ja-JP"/>
        </w:rPr>
        <w:t>hus</w:t>
      </w:r>
      <w:r>
        <w:rPr>
          <w:lang w:val="en-GB" w:eastAsia="ja-JP"/>
        </w:rPr>
        <w:t>,</w:t>
      </w:r>
      <w:r w:rsidRPr="00835513">
        <w:rPr>
          <w:lang w:val="en-GB" w:eastAsia="ja-JP"/>
        </w:rPr>
        <w:t xml:space="preserve"> as in LTE-MTC</w:t>
      </w:r>
      <w:r>
        <w:rPr>
          <w:lang w:val="en-GB" w:eastAsia="ja-JP"/>
        </w:rPr>
        <w:t>,</w:t>
      </w:r>
      <w:r w:rsidRPr="00835513">
        <w:rPr>
          <w:lang w:val="en-GB" w:eastAsia="ja-JP"/>
        </w:rPr>
        <w:t xml:space="preserve"> its relationship likely would have to be described through a Table e.g., within clause 4.4 of TS 38.211.</w:t>
      </w:r>
    </w:p>
    <w:p w14:paraId="59F33EAB" w14:textId="77777777" w:rsidR="00492F2D" w:rsidRPr="00835513" w:rsidRDefault="00492F2D" w:rsidP="00492F2D">
      <w:pPr>
        <w:pStyle w:val="BodyText"/>
        <w:numPr>
          <w:ilvl w:val="0"/>
          <w:numId w:val="46"/>
        </w:numPr>
        <w:overflowPunct w:val="0"/>
        <w:autoSpaceDE w:val="0"/>
        <w:autoSpaceDN w:val="0"/>
        <w:adjustRightInd w:val="0"/>
        <w:spacing w:line="240" w:lineRule="auto"/>
        <w:textAlignment w:val="baseline"/>
        <w:rPr>
          <w:lang w:val="en-GB" w:eastAsia="ja-JP"/>
        </w:rPr>
      </w:pPr>
      <w:r w:rsidRPr="00835513">
        <w:rPr>
          <w:lang w:val="en-GB" w:eastAsia="ja-JP"/>
        </w:rPr>
        <w:t xml:space="preserve">Modulation Schemes: Depending on the decision on whether single-tone and/or </w:t>
      </w:r>
      <w:r>
        <w:rPr>
          <w:lang w:val="en-GB" w:eastAsia="ja-JP"/>
        </w:rPr>
        <w:t>m</w:t>
      </w:r>
      <w:r w:rsidRPr="00835513">
        <w:rPr>
          <w:lang w:val="en-GB" w:eastAsia="ja-JP"/>
        </w:rPr>
        <w:t xml:space="preserve">ulti-tone allocations would be supported, the </w:t>
      </w:r>
      <w:r>
        <w:rPr>
          <w:lang w:val="en-GB" w:eastAsia="ja-JP"/>
        </w:rPr>
        <w:t>m</w:t>
      </w:r>
      <w:r w:rsidRPr="00835513">
        <w:rPr>
          <w:lang w:val="en-GB" w:eastAsia="ja-JP"/>
        </w:rPr>
        <w:t xml:space="preserve">odulation scheme to be used in each case would have to be discussed. </w:t>
      </w:r>
    </w:p>
    <w:p w14:paraId="63B804D4" w14:textId="77777777" w:rsidR="00492F2D" w:rsidRPr="00835513" w:rsidRDefault="00492F2D" w:rsidP="00492F2D">
      <w:pPr>
        <w:pStyle w:val="BodyText"/>
        <w:ind w:left="720"/>
        <w:rPr>
          <w:lang w:val="en-GB" w:eastAsia="ja-JP"/>
        </w:rPr>
      </w:pPr>
      <w:r w:rsidRPr="00835513">
        <w:rPr>
          <w:lang w:val="en-GB" w:eastAsia="ja-JP"/>
        </w:rPr>
        <w:t>The modulation schemes to be used for sub-PRB would have to be described e.g., in Clause 6.3.1.2 of TS 38.211.</w:t>
      </w:r>
    </w:p>
    <w:p w14:paraId="259E29A3" w14:textId="77777777" w:rsidR="00492F2D" w:rsidRPr="00835513" w:rsidRDefault="00492F2D" w:rsidP="00492F2D">
      <w:pPr>
        <w:pStyle w:val="BodyText"/>
        <w:numPr>
          <w:ilvl w:val="0"/>
          <w:numId w:val="46"/>
        </w:numPr>
        <w:overflowPunct w:val="0"/>
        <w:autoSpaceDE w:val="0"/>
        <w:autoSpaceDN w:val="0"/>
        <w:adjustRightInd w:val="0"/>
        <w:spacing w:line="240" w:lineRule="auto"/>
        <w:textAlignment w:val="baseline"/>
        <w:rPr>
          <w:lang w:val="en-GB" w:eastAsia="ja-JP"/>
        </w:rPr>
      </w:pPr>
      <w:r w:rsidRPr="00835513">
        <w:rPr>
          <w:lang w:val="en-GB" w:eastAsia="ja-JP"/>
        </w:rPr>
        <w:t xml:space="preserve">SC-FDMA baseband signal generation: PUSCH using sub-PRB allocations would need to be described since a granularity smaller than </w:t>
      </w:r>
      <m:oMath>
        <m:sSubSup>
          <m:sSubSupPr>
            <m:ctrlPr>
              <w:rPr>
                <w:rFonts w:ascii="Cambria Math" w:hAnsi="Cambria Math"/>
                <w:lang w:val="en-GB" w:eastAsia="ja-JP"/>
              </w:rPr>
            </m:ctrlPr>
          </m:sSubSupPr>
          <m:e>
            <m:r>
              <w:rPr>
                <w:rFonts w:ascii="Cambria Math" w:hAnsi="Cambria Math"/>
                <w:lang w:val="en-GB" w:eastAsia="ja-JP"/>
              </w:rPr>
              <m:t>N</m:t>
            </m:r>
          </m:e>
          <m:sub>
            <m:r>
              <m:rPr>
                <m:nor/>
              </m:rPr>
              <w:rPr>
                <w:lang w:val="en-GB" w:eastAsia="ja-JP"/>
              </w:rPr>
              <m:t>sc</m:t>
            </m:r>
          </m:sub>
          <m:sup>
            <m:r>
              <m:rPr>
                <m:nor/>
              </m:rPr>
              <w:rPr>
                <w:lang w:val="en-GB" w:eastAsia="ja-JP"/>
              </w:rPr>
              <m:t>RB</m:t>
            </m:r>
          </m:sup>
        </m:sSubSup>
      </m:oMath>
      <w:r w:rsidRPr="00835513">
        <w:rPr>
          <w:lang w:val="en-GB" w:eastAsia="ja-JP"/>
        </w:rPr>
        <w:t xml:space="preserve"> would become available. </w:t>
      </w:r>
    </w:p>
    <w:p w14:paraId="3FB005EA" w14:textId="77777777" w:rsidR="00492F2D" w:rsidRPr="00835513" w:rsidRDefault="00492F2D" w:rsidP="00492F2D">
      <w:pPr>
        <w:pStyle w:val="BodyText"/>
        <w:ind w:left="720"/>
        <w:rPr>
          <w:lang w:val="en-GB" w:eastAsia="ja-JP"/>
        </w:rPr>
      </w:pPr>
      <w:r w:rsidRPr="00835513">
        <w:rPr>
          <w:lang w:val="en-GB" w:eastAsia="ja-JP"/>
        </w:rPr>
        <w:t>Clause 5.3 of TS 38.211.</w:t>
      </w:r>
    </w:p>
    <w:p w14:paraId="5EDFC895" w14:textId="77777777" w:rsidR="00492F2D" w:rsidRPr="00835513" w:rsidRDefault="00492F2D" w:rsidP="00492F2D">
      <w:pPr>
        <w:pStyle w:val="BodyText"/>
        <w:numPr>
          <w:ilvl w:val="0"/>
          <w:numId w:val="46"/>
        </w:numPr>
        <w:overflowPunct w:val="0"/>
        <w:autoSpaceDE w:val="0"/>
        <w:autoSpaceDN w:val="0"/>
        <w:adjustRightInd w:val="0"/>
        <w:spacing w:line="240" w:lineRule="auto"/>
        <w:textAlignment w:val="baseline"/>
        <w:rPr>
          <w:lang w:val="en-GB" w:eastAsia="ja-JP"/>
        </w:rPr>
      </w:pPr>
      <w:r w:rsidRPr="00835513">
        <w:rPr>
          <w:lang w:val="en-GB" w:eastAsia="ja-JP"/>
        </w:rPr>
        <w:t>Uplink resource allocation type: A new Uplink resource allocation for sub-PRB would need to be introduced.</w:t>
      </w:r>
    </w:p>
    <w:p w14:paraId="4A1EEF85" w14:textId="77777777" w:rsidR="00492F2D" w:rsidRPr="00835513" w:rsidRDefault="00492F2D" w:rsidP="00492F2D">
      <w:pPr>
        <w:pStyle w:val="BodyText"/>
        <w:ind w:left="720"/>
        <w:rPr>
          <w:lang w:val="en-GB" w:eastAsia="ja-JP"/>
        </w:rPr>
      </w:pPr>
      <w:r w:rsidRPr="00835513">
        <w:rPr>
          <w:lang w:val="en-GB" w:eastAsia="ja-JP"/>
        </w:rPr>
        <w:t>Clause 6.1.2.2 of TS 38.214.</w:t>
      </w:r>
    </w:p>
    <w:p w14:paraId="1FD790AB" w14:textId="77777777" w:rsidR="00492F2D" w:rsidRPr="00835513" w:rsidRDefault="00492F2D" w:rsidP="00492F2D">
      <w:pPr>
        <w:pStyle w:val="BodyText"/>
        <w:numPr>
          <w:ilvl w:val="0"/>
          <w:numId w:val="46"/>
        </w:numPr>
        <w:overflowPunct w:val="0"/>
        <w:autoSpaceDE w:val="0"/>
        <w:autoSpaceDN w:val="0"/>
        <w:adjustRightInd w:val="0"/>
        <w:spacing w:line="240" w:lineRule="auto"/>
        <w:textAlignment w:val="baseline"/>
        <w:rPr>
          <w:lang w:val="en-GB" w:eastAsia="ja-JP"/>
        </w:rPr>
      </w:pPr>
      <w:r w:rsidRPr="00835513">
        <w:rPr>
          <w:lang w:val="en-GB" w:eastAsia="ja-JP"/>
        </w:rPr>
        <w:t xml:space="preserve">Scrambling: The initialization of the scrambling sequence generator would be impacted by the sub-PRB transmissions over PUSCH (it needs to account for the RU). </w:t>
      </w:r>
    </w:p>
    <w:p w14:paraId="2BD5B14F" w14:textId="77777777" w:rsidR="00492F2D" w:rsidRPr="00835513" w:rsidRDefault="00492F2D" w:rsidP="00492F2D">
      <w:pPr>
        <w:pStyle w:val="BodyText"/>
        <w:ind w:left="720"/>
        <w:rPr>
          <w:lang w:val="en-GB" w:eastAsia="ja-JP"/>
        </w:rPr>
      </w:pPr>
      <w:r w:rsidRPr="00835513">
        <w:rPr>
          <w:lang w:val="en-GB" w:eastAsia="ja-JP"/>
        </w:rPr>
        <w:t>Clause 6.3.1.1 of TS 38.211.</w:t>
      </w:r>
    </w:p>
    <w:p w14:paraId="3FFFFE96" w14:textId="77777777" w:rsidR="00492F2D" w:rsidRPr="00835513" w:rsidRDefault="00492F2D" w:rsidP="00492F2D">
      <w:pPr>
        <w:pStyle w:val="BodyText"/>
        <w:numPr>
          <w:ilvl w:val="0"/>
          <w:numId w:val="46"/>
        </w:numPr>
        <w:overflowPunct w:val="0"/>
        <w:autoSpaceDE w:val="0"/>
        <w:autoSpaceDN w:val="0"/>
        <w:adjustRightInd w:val="0"/>
        <w:spacing w:line="240" w:lineRule="auto"/>
        <w:textAlignment w:val="baseline"/>
        <w:rPr>
          <w:lang w:val="en-GB" w:eastAsia="ja-JP"/>
        </w:rPr>
      </w:pPr>
      <w:r w:rsidRPr="00835513">
        <w:rPr>
          <w:lang w:val="en-GB" w:eastAsia="ja-JP"/>
        </w:rPr>
        <w:t>DMRS: The DMRS sequence and DMRS RE mapping would be impacted by sub-PRB transmissions over PUSCH.</w:t>
      </w:r>
    </w:p>
    <w:p w14:paraId="5AD6A6FE" w14:textId="77777777" w:rsidR="00492F2D" w:rsidRPr="00835513" w:rsidRDefault="00492F2D" w:rsidP="00492F2D">
      <w:pPr>
        <w:pStyle w:val="BodyText"/>
        <w:ind w:left="720"/>
        <w:rPr>
          <w:lang w:val="en-GB" w:eastAsia="ja-JP"/>
        </w:rPr>
      </w:pPr>
      <w:r w:rsidRPr="00835513">
        <w:rPr>
          <w:lang w:val="en-GB" w:eastAsia="ja-JP"/>
        </w:rPr>
        <w:t>Clauses 6.4.1.1 of TS 38.211.</w:t>
      </w:r>
    </w:p>
    <w:p w14:paraId="77D14AB1" w14:textId="77777777" w:rsidR="00492F2D" w:rsidRPr="00835513" w:rsidRDefault="00492F2D" w:rsidP="00492F2D">
      <w:pPr>
        <w:pStyle w:val="BodyText"/>
        <w:numPr>
          <w:ilvl w:val="0"/>
          <w:numId w:val="46"/>
        </w:numPr>
        <w:overflowPunct w:val="0"/>
        <w:autoSpaceDE w:val="0"/>
        <w:autoSpaceDN w:val="0"/>
        <w:adjustRightInd w:val="0"/>
        <w:spacing w:line="240" w:lineRule="auto"/>
        <w:textAlignment w:val="baseline"/>
        <w:rPr>
          <w:lang w:val="en-GB" w:eastAsia="ja-JP"/>
        </w:rPr>
      </w:pPr>
      <w:r w:rsidRPr="00835513">
        <w:rPr>
          <w:lang w:val="en-GB" w:eastAsia="ja-JP"/>
        </w:rPr>
        <w:t>TBS size Determination: Transport Block size per RU allocation for sub-PRB transmissions over PUSCH.</w:t>
      </w:r>
    </w:p>
    <w:p w14:paraId="332B6223" w14:textId="77777777" w:rsidR="00492F2D" w:rsidRPr="00835513" w:rsidRDefault="00492F2D" w:rsidP="00492F2D">
      <w:pPr>
        <w:pStyle w:val="BodyText"/>
        <w:ind w:left="720"/>
        <w:rPr>
          <w:lang w:val="en-GB" w:eastAsia="ja-JP"/>
        </w:rPr>
      </w:pPr>
      <w:r w:rsidRPr="00835513">
        <w:rPr>
          <w:lang w:val="en-GB" w:eastAsia="ja-JP"/>
        </w:rPr>
        <w:t>Clause 6.1.4 of TS 38.214</w:t>
      </w:r>
      <w:r>
        <w:rPr>
          <w:lang w:val="en-GB" w:eastAsia="ja-JP"/>
        </w:rPr>
        <w:t>.</w:t>
      </w:r>
    </w:p>
    <w:p w14:paraId="226099AE" w14:textId="77777777" w:rsidR="00492F2D" w:rsidRPr="00835513" w:rsidRDefault="00492F2D" w:rsidP="00492F2D">
      <w:pPr>
        <w:pStyle w:val="BodyText"/>
        <w:numPr>
          <w:ilvl w:val="0"/>
          <w:numId w:val="46"/>
        </w:numPr>
        <w:overflowPunct w:val="0"/>
        <w:autoSpaceDE w:val="0"/>
        <w:autoSpaceDN w:val="0"/>
        <w:adjustRightInd w:val="0"/>
        <w:spacing w:line="240" w:lineRule="auto"/>
        <w:textAlignment w:val="baseline"/>
        <w:rPr>
          <w:lang w:val="en-GB" w:eastAsia="ja-JP"/>
        </w:rPr>
      </w:pPr>
      <w:r w:rsidRPr="00835513">
        <w:rPr>
          <w:lang w:val="en-GB" w:eastAsia="ja-JP"/>
        </w:rPr>
        <w:t>UE transmit power of PUSCH: Bandwidth of the PUSCH resource assignment expressed as a fraction of a resource block is foreseen to impact clause 7.1.1 of TS 38.213.</w:t>
      </w:r>
    </w:p>
    <w:p w14:paraId="6EF46E31" w14:textId="77777777" w:rsidR="00492F2D" w:rsidRPr="00835513" w:rsidRDefault="00492F2D" w:rsidP="00492F2D">
      <w:pPr>
        <w:pStyle w:val="BodyText"/>
        <w:numPr>
          <w:ilvl w:val="0"/>
          <w:numId w:val="46"/>
        </w:numPr>
        <w:overflowPunct w:val="0"/>
        <w:autoSpaceDE w:val="0"/>
        <w:autoSpaceDN w:val="0"/>
        <w:adjustRightInd w:val="0"/>
        <w:spacing w:line="240" w:lineRule="auto"/>
        <w:textAlignment w:val="baseline"/>
        <w:rPr>
          <w:lang w:val="en-GB" w:eastAsia="ja-JP"/>
        </w:rPr>
      </w:pPr>
      <w:r w:rsidRPr="00835513">
        <w:rPr>
          <w:lang w:val="en-GB" w:eastAsia="ja-JP"/>
        </w:rPr>
        <w:lastRenderedPageBreak/>
        <w:t>DCI design: Dynamic indication on the number of allocated subcarriers and number of allocated RUs.</w:t>
      </w:r>
    </w:p>
    <w:p w14:paraId="323440AB" w14:textId="77777777" w:rsidR="00492F2D" w:rsidRPr="00835513" w:rsidRDefault="00492F2D" w:rsidP="00492F2D">
      <w:pPr>
        <w:pStyle w:val="BodyText"/>
        <w:ind w:left="720"/>
        <w:rPr>
          <w:lang w:val="en-GB" w:eastAsia="ja-JP"/>
        </w:rPr>
      </w:pPr>
      <w:r w:rsidRPr="00835513">
        <w:rPr>
          <w:lang w:val="en-GB" w:eastAsia="ja-JP"/>
        </w:rPr>
        <w:t>Clauses 7.3.1.1 of TS 38.212.</w:t>
      </w:r>
    </w:p>
    <w:p w14:paraId="19A1A522" w14:textId="77777777" w:rsidR="00492F2D" w:rsidRDefault="00492F2D" w:rsidP="00492F2D">
      <w:pPr>
        <w:rPr>
          <w:lang w:val="en-GB" w:eastAsia="ja-JP"/>
        </w:rPr>
      </w:pPr>
      <w:r>
        <w:rPr>
          <w:lang w:val="en-GB" w:eastAsia="ja-JP"/>
        </w:rPr>
        <w:t>Moreover, i</w:t>
      </w:r>
      <w:r w:rsidRPr="00835513">
        <w:rPr>
          <w:lang w:val="en-GB" w:eastAsia="ja-JP"/>
        </w:rPr>
        <w:t xml:space="preserve">t is also important to mention that </w:t>
      </w:r>
      <w:r>
        <w:rPr>
          <w:lang w:val="en-GB" w:eastAsia="ja-JP"/>
        </w:rPr>
        <w:t>n</w:t>
      </w:r>
      <w:r w:rsidRPr="00835513">
        <w:rPr>
          <w:lang w:val="en-GB" w:eastAsia="ja-JP"/>
        </w:rPr>
        <w:t>on-negligible RAN4 specification impacts are expected</w:t>
      </w:r>
      <w:r>
        <w:rPr>
          <w:lang w:val="en-GB" w:eastAsia="ja-JP"/>
        </w:rPr>
        <w:t xml:space="preserve"> as well</w:t>
      </w:r>
      <w:r w:rsidRPr="00835513">
        <w:rPr>
          <w:lang w:val="en-GB" w:eastAsia="ja-JP"/>
        </w:rPr>
        <w:t xml:space="preserve"> (e.g., the reference sensitivity for sub</w:t>
      </w:r>
      <w:r>
        <w:rPr>
          <w:lang w:val="en-GB" w:eastAsia="ja-JP"/>
        </w:rPr>
        <w:t>-</w:t>
      </w:r>
      <w:r w:rsidRPr="00835513">
        <w:rPr>
          <w:lang w:val="en-GB" w:eastAsia="ja-JP"/>
        </w:rPr>
        <w:t>PRB).</w:t>
      </w:r>
    </w:p>
    <w:p w14:paraId="6948C7FD" w14:textId="77777777" w:rsidR="00492F2D" w:rsidRDefault="00492F2D" w:rsidP="00492F2D">
      <w:pPr>
        <w:pStyle w:val="Observation"/>
        <w:ind w:left="1710" w:hanging="1710"/>
      </w:pPr>
      <w:bookmarkStart w:id="12" w:name="_Toc152606804"/>
      <w:r>
        <w:t>T</w:t>
      </w:r>
      <w:r w:rsidRPr="00F077D6">
        <w:t>he support of “Sub-PRB allocations per UE” for NR-NTN is foreseen to result in major RAN1 specification impacts</w:t>
      </w:r>
      <w:r>
        <w:t xml:space="preserve">: TS 38.211 (e.g., </w:t>
      </w:r>
      <w:r w:rsidRPr="00F077D6">
        <w:t>Resource Units</w:t>
      </w:r>
      <w:r>
        <w:t xml:space="preserve">, </w:t>
      </w:r>
      <w:r w:rsidRPr="00F077D6">
        <w:t>Number of allocated subcarriers</w:t>
      </w:r>
      <w:r>
        <w:t xml:space="preserve">, </w:t>
      </w:r>
      <w:r w:rsidRPr="00F077D6">
        <w:t>Modulation Schemes for sub-PRB</w:t>
      </w:r>
      <w:r>
        <w:t xml:space="preserve">, </w:t>
      </w:r>
      <w:r w:rsidRPr="00F077D6">
        <w:t>SC-FDMA baseband signal generation for sub-PRB</w:t>
      </w:r>
      <w:r>
        <w:t xml:space="preserve">, </w:t>
      </w:r>
      <w:r w:rsidRPr="00F077D6">
        <w:t>Scrambling sequence generator</w:t>
      </w:r>
      <w:r>
        <w:t xml:space="preserve">, </w:t>
      </w:r>
      <w:r w:rsidRPr="00F077D6">
        <w:t>DMRS for sub-PRB)</w:t>
      </w:r>
      <w:r>
        <w:t>, TS 38.214 (e.g.,</w:t>
      </w:r>
      <w:r w:rsidRPr="00F077D6">
        <w:t xml:space="preserve"> The Uplink resource allocation type</w:t>
      </w:r>
      <w:r>
        <w:t xml:space="preserve">, </w:t>
      </w:r>
      <w:r w:rsidRPr="00F077D6">
        <w:t>The TBS determination for sub-PRB</w:t>
      </w:r>
      <w:r>
        <w:t>, a</w:t>
      </w:r>
      <w:r w:rsidRPr="00F077D6">
        <w:t>nd also by the Resource Units)</w:t>
      </w:r>
      <w:r>
        <w:t xml:space="preserve">, TS 38.213 (e.g., </w:t>
      </w:r>
      <w:r w:rsidRPr="00F077D6">
        <w:t>The UE transmit power of PUSCH</w:t>
      </w:r>
      <w:r>
        <w:t>), and TS 38.212 (e.g., DCI design).</w:t>
      </w:r>
      <w:bookmarkEnd w:id="12"/>
    </w:p>
    <w:p w14:paraId="282D2F6B" w14:textId="77777777" w:rsidR="00492F2D" w:rsidRPr="00F077D6" w:rsidRDefault="00492F2D" w:rsidP="00492F2D">
      <w:pPr>
        <w:pStyle w:val="Observation"/>
        <w:ind w:left="1710" w:hanging="1710"/>
      </w:pPr>
      <w:bookmarkStart w:id="13" w:name="_Toc152606805"/>
      <w:r>
        <w:t>In addition, n</w:t>
      </w:r>
      <w:r w:rsidRPr="00F077D6">
        <w:t>on-negligible RAN4 specification impacts are also expected (e.g., the reference sensitivity for sub</w:t>
      </w:r>
      <w:r>
        <w:t>-</w:t>
      </w:r>
      <w:r w:rsidRPr="00F077D6">
        <w:t>PRB)</w:t>
      </w:r>
      <w:r>
        <w:t>.</w:t>
      </w:r>
      <w:bookmarkEnd w:id="13"/>
    </w:p>
    <w:p w14:paraId="6880F509" w14:textId="5F3CD39D" w:rsidR="00492F2D" w:rsidRPr="007B3406" w:rsidRDefault="00D32D33" w:rsidP="00492F2D">
      <w:pPr>
        <w:pStyle w:val="Proposal"/>
        <w:rPr>
          <w:lang w:val="en-GB" w:eastAsia="ja-JP"/>
        </w:rPr>
      </w:pPr>
      <w:r>
        <w:rPr>
          <w:lang w:val="en-GB"/>
        </w:rPr>
        <w:t xml:space="preserve">Introducing </w:t>
      </w:r>
      <w:r w:rsidR="00492F2D" w:rsidRPr="00AB5E83">
        <w:rPr>
          <w:lang w:val="en-GB"/>
        </w:rPr>
        <w:t>Sub-PRB allocations per UE for NR</w:t>
      </w:r>
      <w:r w:rsidR="00492F2D">
        <w:rPr>
          <w:lang w:val="en-GB"/>
        </w:rPr>
        <w:t xml:space="preserve"> </w:t>
      </w:r>
      <w:r w:rsidR="00492F2D" w:rsidRPr="00AB5E83">
        <w:rPr>
          <w:lang w:val="en-GB"/>
        </w:rPr>
        <w:t xml:space="preserve">NTN is not considered as part of the Rel-19 </w:t>
      </w:r>
      <w:r>
        <w:rPr>
          <w:lang w:val="en-GB"/>
        </w:rPr>
        <w:t>NR NTN WI</w:t>
      </w:r>
      <w:r w:rsidR="00492F2D" w:rsidRPr="00AB5E83">
        <w:rPr>
          <w:lang w:val="en-GB"/>
        </w:rPr>
        <w:t>.</w:t>
      </w:r>
    </w:p>
    <w:p w14:paraId="364539F4" w14:textId="0549B945" w:rsidR="00492F2D" w:rsidRDefault="00E32C50" w:rsidP="00492F2D">
      <w:pPr>
        <w:pStyle w:val="Heading3"/>
      </w:pPr>
      <w:r>
        <w:t>A</w:t>
      </w:r>
      <w:r w:rsidR="00492F2D">
        <w:t>.3.3</w:t>
      </w:r>
      <w:r w:rsidR="00492F2D">
        <w:tab/>
        <w:t>View on “Contention-based PUSCH” and PUCCH enhancements</w:t>
      </w:r>
    </w:p>
    <w:p w14:paraId="18CD1DC2" w14:textId="77777777" w:rsidR="00492F2D" w:rsidRDefault="00492F2D" w:rsidP="00492F2D">
      <w:pPr>
        <w:rPr>
          <w:lang w:val="en-GB" w:eastAsia="ja-JP"/>
        </w:rPr>
      </w:pPr>
      <w:r>
        <w:rPr>
          <w:lang w:val="en-GB" w:eastAsia="ja-JP"/>
        </w:rPr>
        <w:t>As part of the potential uplink capacity enhancements, there is one sub-objective that remained under FFS touching upon “sporadic access (i.e., contention based PUSCH) to a pool of shared resources”:</w:t>
      </w:r>
    </w:p>
    <w:tbl>
      <w:tblPr>
        <w:tblStyle w:val="TableGrid"/>
        <w:tblW w:w="0" w:type="auto"/>
        <w:tblLook w:val="04A0" w:firstRow="1" w:lastRow="0" w:firstColumn="1" w:lastColumn="0" w:noHBand="0" w:noVBand="1"/>
      </w:tblPr>
      <w:tblGrid>
        <w:gridCol w:w="9629"/>
      </w:tblGrid>
      <w:tr w:rsidR="00492F2D" w14:paraId="7D4CBC56" w14:textId="77777777">
        <w:tc>
          <w:tcPr>
            <w:tcW w:w="9629" w:type="dxa"/>
          </w:tcPr>
          <w:p w14:paraId="0FFB6655" w14:textId="77777777" w:rsidR="00492F2D" w:rsidRPr="003B1B5E" w:rsidRDefault="00492F2D">
            <w:pPr>
              <w:numPr>
                <w:ilvl w:val="0"/>
                <w:numId w:val="49"/>
              </w:numPr>
              <w:spacing w:after="0" w:line="252" w:lineRule="auto"/>
              <w:contextualSpacing/>
              <w:rPr>
                <w:rFonts w:ascii="CG Times (WN)" w:eastAsia="Times New Roman" w:hAnsi="CG Times (WN)" w:cs="Times New Roman"/>
                <w:sz w:val="14"/>
                <w:szCs w:val="12"/>
                <w:highlight w:val="yellow"/>
                <w:lang w:eastAsia="en-GB"/>
              </w:rPr>
            </w:pPr>
            <w:r w:rsidRPr="003B1B5E">
              <w:rPr>
                <w:rFonts w:ascii="CG Times (WN)" w:eastAsia="Times New Roman" w:hAnsi="CG Times (WN)" w:cs="Times New Roman"/>
                <w:sz w:val="14"/>
                <w:szCs w:val="12"/>
                <w:highlight w:val="yellow"/>
                <w:lang w:eastAsia="en-GB"/>
              </w:rPr>
              <w:t>Study and specified if needed, sporadic access (</w:t>
            </w:r>
            <w:proofErr w:type="gramStart"/>
            <w:r w:rsidRPr="003B1B5E">
              <w:rPr>
                <w:rFonts w:ascii="CG Times (WN)" w:eastAsia="Times New Roman" w:hAnsi="CG Times (WN)" w:cs="Times New Roman"/>
                <w:sz w:val="14"/>
                <w:szCs w:val="12"/>
                <w:highlight w:val="yellow"/>
                <w:lang w:eastAsia="en-GB"/>
              </w:rPr>
              <w:t>i.e.</w:t>
            </w:r>
            <w:proofErr w:type="gramEnd"/>
            <w:r w:rsidRPr="003B1B5E">
              <w:rPr>
                <w:rFonts w:ascii="CG Times (WN)" w:eastAsia="Times New Roman" w:hAnsi="CG Times (WN)" w:cs="Times New Roman"/>
                <w:sz w:val="14"/>
                <w:szCs w:val="12"/>
                <w:highlight w:val="yellow"/>
                <w:lang w:eastAsia="en-GB"/>
              </w:rPr>
              <w:t xml:space="preserve"> contention based PUSCH) to a pool of shared resources [RAN1/2]</w:t>
            </w:r>
          </w:p>
          <w:p w14:paraId="3A918FF7" w14:textId="77777777" w:rsidR="00492F2D" w:rsidRDefault="00492F2D">
            <w:pPr>
              <w:rPr>
                <w:lang w:val="en-GB" w:eastAsia="ja-JP"/>
              </w:rPr>
            </w:pPr>
            <w:r w:rsidRPr="003B1B5E">
              <w:rPr>
                <w:rFonts w:ascii="Calibri" w:eastAsia="Calibri" w:hAnsi="Calibri" w:cs="Times New Roman"/>
                <w:sz w:val="14"/>
                <w:szCs w:val="14"/>
                <w:highlight w:val="yellow"/>
              </w:rPr>
              <w:t>FFS PUCCH enhancements, if needed [RAN1]</w:t>
            </w:r>
          </w:p>
        </w:tc>
      </w:tr>
    </w:tbl>
    <w:p w14:paraId="03E225A2" w14:textId="77777777" w:rsidR="00492F2D" w:rsidRDefault="00492F2D" w:rsidP="00492F2D">
      <w:pPr>
        <w:rPr>
          <w:lang w:val="en-GB" w:eastAsia="ja-JP"/>
        </w:rPr>
      </w:pPr>
    </w:p>
    <w:p w14:paraId="15CA6B08" w14:textId="77777777" w:rsidR="00492F2D" w:rsidRDefault="00492F2D" w:rsidP="00492F2D">
      <w:pPr>
        <w:jc w:val="both"/>
        <w:rPr>
          <w:lang w:val="en-GB" w:eastAsia="ja-JP"/>
        </w:rPr>
      </w:pPr>
      <w:r>
        <w:rPr>
          <w:lang w:val="en-GB" w:eastAsia="ja-JP"/>
        </w:rPr>
        <w:t xml:space="preserve">It is unclear whether the PUSCH resource to be shared will only encompass time-frequency resources or if it will require to involve another dimension (e.g., code-domain, spatial-domain). Moreover, if the intention is to rely on a “pool of shared resources”, </w:t>
      </w:r>
      <w:r w:rsidRPr="00B70F1E">
        <w:rPr>
          <w:lang w:val="en-GB" w:eastAsia="ja-JP"/>
        </w:rPr>
        <w:t xml:space="preserve">normally the number of UEs that the network can support would have to be rather low to guarantee </w:t>
      </w:r>
      <w:r>
        <w:rPr>
          <w:lang w:val="en-GB" w:eastAsia="ja-JP"/>
        </w:rPr>
        <w:t xml:space="preserve">a </w:t>
      </w:r>
      <w:r w:rsidRPr="00B70F1E">
        <w:rPr>
          <w:lang w:val="en-GB" w:eastAsia="ja-JP"/>
        </w:rPr>
        <w:t>low collision rate</w:t>
      </w:r>
      <w:r>
        <w:rPr>
          <w:lang w:val="en-GB" w:eastAsia="ja-JP"/>
        </w:rPr>
        <w:t>. Given that the elements around this proposal are unclear, it is recommended to not pursue this proposal in Rel-19.</w:t>
      </w:r>
    </w:p>
    <w:p w14:paraId="1178C7B5" w14:textId="77777777" w:rsidR="00492F2D" w:rsidRDefault="00492F2D" w:rsidP="00492F2D">
      <w:pPr>
        <w:pStyle w:val="Observation"/>
        <w:ind w:left="1710" w:hanging="1710"/>
      </w:pPr>
      <w:bookmarkStart w:id="14" w:name="_Toc152606806"/>
      <w:r>
        <w:t xml:space="preserve">It is unclear if “contention based PUSCH” will </w:t>
      </w:r>
      <w:r w:rsidRPr="000C0D60">
        <w:t>encompass time-frequency resources or if it will require to involve another dimension</w:t>
      </w:r>
      <w:r>
        <w:t xml:space="preserve"> (e.g., code-domain, spatial-domain).</w:t>
      </w:r>
      <w:bookmarkEnd w:id="14"/>
    </w:p>
    <w:p w14:paraId="61922E43" w14:textId="77777777" w:rsidR="00492F2D" w:rsidRPr="000C0D60" w:rsidRDefault="00492F2D" w:rsidP="00492F2D">
      <w:pPr>
        <w:pStyle w:val="Observation"/>
        <w:ind w:left="1710" w:hanging="1710"/>
      </w:pPr>
      <w:bookmarkStart w:id="15" w:name="_Toc152606807"/>
      <w:r>
        <w:t>If “contention based PUSCH” will</w:t>
      </w:r>
      <w:r w:rsidRPr="000C0D60">
        <w:t xml:space="preserve"> rely on a “pool of shared resources</w:t>
      </w:r>
      <w:r>
        <w:t>,</w:t>
      </w:r>
      <w:r w:rsidRPr="000C0D60">
        <w:t xml:space="preserve">” </w:t>
      </w:r>
      <w:r>
        <w:t xml:space="preserve">likely </w:t>
      </w:r>
      <w:r w:rsidRPr="000C0D60">
        <w:t xml:space="preserve">the number of UEs that the network can support would have to be rather low to guarantee </w:t>
      </w:r>
      <w:r>
        <w:t xml:space="preserve">a </w:t>
      </w:r>
      <w:r w:rsidRPr="000C0D60">
        <w:t>low collision rate</w:t>
      </w:r>
      <w:r>
        <w:t>.</w:t>
      </w:r>
      <w:bookmarkEnd w:id="15"/>
    </w:p>
    <w:p w14:paraId="4005B36E" w14:textId="15F266C0" w:rsidR="00492F2D" w:rsidRPr="000C0D60" w:rsidRDefault="00492F2D" w:rsidP="00492F2D">
      <w:pPr>
        <w:pStyle w:val="Proposal"/>
        <w:rPr>
          <w:lang w:val="en-GB"/>
        </w:rPr>
      </w:pPr>
      <w:r>
        <w:rPr>
          <w:lang w:val="en-GB"/>
        </w:rPr>
        <w:t>C</w:t>
      </w:r>
      <w:r w:rsidRPr="000C0D60">
        <w:rPr>
          <w:lang w:val="en-GB"/>
        </w:rPr>
        <w:t>ontention based PUSCH</w:t>
      </w:r>
      <w:r w:rsidRPr="00AB5E83">
        <w:rPr>
          <w:lang w:val="en-GB"/>
        </w:rPr>
        <w:t xml:space="preserve"> for NR</w:t>
      </w:r>
      <w:r>
        <w:rPr>
          <w:lang w:val="en-GB"/>
        </w:rPr>
        <w:t xml:space="preserve"> </w:t>
      </w:r>
      <w:r w:rsidRPr="00AB5E83">
        <w:rPr>
          <w:lang w:val="en-GB"/>
        </w:rPr>
        <w:t xml:space="preserve">NTN is not considered as part of the Rel-19 </w:t>
      </w:r>
      <w:r w:rsidR="006D111E">
        <w:rPr>
          <w:lang w:val="en-GB"/>
        </w:rPr>
        <w:t>NR NTN WI</w:t>
      </w:r>
      <w:r w:rsidRPr="00AB5E83">
        <w:rPr>
          <w:lang w:val="en-GB"/>
        </w:rPr>
        <w:t>.</w:t>
      </w:r>
    </w:p>
    <w:p w14:paraId="35C15CCD" w14:textId="77777777" w:rsidR="00492F2D" w:rsidRDefault="00492F2D" w:rsidP="00492F2D">
      <w:pPr>
        <w:jc w:val="both"/>
        <w:rPr>
          <w:lang w:val="en-GB" w:eastAsia="ja-JP"/>
        </w:rPr>
      </w:pPr>
      <w:r>
        <w:rPr>
          <w:lang w:val="en-GB" w:eastAsia="ja-JP"/>
        </w:rPr>
        <w:t>The sub-objective also mentions “</w:t>
      </w:r>
      <w:r w:rsidRPr="000C0D60">
        <w:rPr>
          <w:lang w:val="en-GB" w:eastAsia="ja-JP"/>
        </w:rPr>
        <w:t>FFS PUCCH enhancements, if needed</w:t>
      </w:r>
      <w:r>
        <w:rPr>
          <w:lang w:val="en-GB" w:eastAsia="ja-JP"/>
        </w:rPr>
        <w:t>,” for which no description was provided. Thus, there are no sufficient elements to proceed further with it.</w:t>
      </w:r>
    </w:p>
    <w:p w14:paraId="5611F625" w14:textId="77777777" w:rsidR="00492F2D" w:rsidRDefault="00492F2D" w:rsidP="00492F2D">
      <w:pPr>
        <w:pStyle w:val="Observation"/>
        <w:ind w:left="1710" w:hanging="1710"/>
      </w:pPr>
      <w:bookmarkStart w:id="16" w:name="_Toc152606808"/>
      <w:r>
        <w:t xml:space="preserve">For the “FSS PUCCH enhancements”, no description was provided, thus there are no </w:t>
      </w:r>
      <w:r w:rsidRPr="00F269BD">
        <w:t xml:space="preserve">sufficient elements </w:t>
      </w:r>
      <w:r>
        <w:t>to</w:t>
      </w:r>
      <w:r w:rsidRPr="00F269BD">
        <w:t xml:space="preserve"> proceed further with it</w:t>
      </w:r>
      <w:r>
        <w:t>.</w:t>
      </w:r>
      <w:bookmarkEnd w:id="16"/>
    </w:p>
    <w:p w14:paraId="0A1CC2D6" w14:textId="5C42CBB7" w:rsidR="00492F2D" w:rsidRPr="000C0D60" w:rsidRDefault="00492F2D" w:rsidP="00492F2D">
      <w:pPr>
        <w:pStyle w:val="Proposal"/>
        <w:rPr>
          <w:lang w:val="en-GB"/>
        </w:rPr>
      </w:pPr>
      <w:r>
        <w:rPr>
          <w:lang w:val="en-GB"/>
        </w:rPr>
        <w:t xml:space="preserve">PUCCH enhancements </w:t>
      </w:r>
      <w:r w:rsidRPr="00AB5E83">
        <w:rPr>
          <w:lang w:val="en-GB"/>
        </w:rPr>
        <w:t>for NR</w:t>
      </w:r>
      <w:r>
        <w:rPr>
          <w:lang w:val="en-GB"/>
        </w:rPr>
        <w:t xml:space="preserve"> </w:t>
      </w:r>
      <w:r w:rsidRPr="00AB5E83">
        <w:rPr>
          <w:lang w:val="en-GB"/>
        </w:rPr>
        <w:t xml:space="preserve">NTN </w:t>
      </w:r>
      <w:r w:rsidR="00EF5A79">
        <w:rPr>
          <w:lang w:val="en-GB"/>
        </w:rPr>
        <w:t xml:space="preserve">are </w:t>
      </w:r>
      <w:r w:rsidRPr="00AB5E83">
        <w:rPr>
          <w:lang w:val="en-GB"/>
        </w:rPr>
        <w:t xml:space="preserve">not considered as part of the Rel-19 </w:t>
      </w:r>
      <w:r w:rsidR="00EF5A79">
        <w:rPr>
          <w:lang w:val="en-GB"/>
        </w:rPr>
        <w:t>NR NTN WI</w:t>
      </w:r>
      <w:r w:rsidRPr="00AB5E83">
        <w:rPr>
          <w:lang w:val="en-GB"/>
        </w:rPr>
        <w:t>.</w:t>
      </w:r>
    </w:p>
    <w:p w14:paraId="0C6B339C" w14:textId="79E0C440" w:rsidR="00492F2D" w:rsidRDefault="00E32C50" w:rsidP="00492F2D">
      <w:pPr>
        <w:pStyle w:val="Heading2"/>
      </w:pPr>
      <w:r>
        <w:t>A</w:t>
      </w:r>
      <w:r w:rsidR="00492F2D">
        <w:t>.4</w:t>
      </w:r>
      <w:r w:rsidR="00492F2D">
        <w:tab/>
        <w:t>Mobility Enhancements</w:t>
      </w:r>
    </w:p>
    <w:p w14:paraId="07A78D11" w14:textId="77777777" w:rsidR="00492F2D" w:rsidRDefault="00492F2D" w:rsidP="00492F2D">
      <w:pPr>
        <w:jc w:val="both"/>
        <w:rPr>
          <w:lang w:val="en-GB" w:eastAsia="ja-JP"/>
        </w:rPr>
      </w:pPr>
      <w:r>
        <w:rPr>
          <w:lang w:val="en-GB" w:eastAsia="ja-JP"/>
        </w:rPr>
        <w:t xml:space="preserve">Mobility is one of the fundamental functionalities of mobile cellular networks. </w:t>
      </w:r>
      <w:r>
        <w:rPr>
          <w:lang w:val="en-GB"/>
        </w:rPr>
        <w:t xml:space="preserve">Mobility enhancements were treated extensively in both Rel-17 and Rel-18 for different NTN deployments (quasi-Earth fixed and Eart-moving cells) and enhancements were introduced to secure service continuity in all RRC states between TN and NTN. Thus, with the latest Rel-18 enhancements in place, we currently see no need for further enhancements in Rel-19. </w:t>
      </w:r>
    </w:p>
    <w:p w14:paraId="41DB6ACA" w14:textId="77777777" w:rsidR="00492F2D" w:rsidRPr="00D80124" w:rsidRDefault="00492F2D" w:rsidP="00492F2D">
      <w:pPr>
        <w:pStyle w:val="Proposal"/>
        <w:rPr>
          <w:lang w:val="en-GB"/>
        </w:rPr>
      </w:pPr>
      <w:r>
        <w:rPr>
          <w:lang w:val="en-GB"/>
        </w:rPr>
        <w:lastRenderedPageBreak/>
        <w:t>De-prioritize mobility enhancements in Rel-19 NR NTN WI.</w:t>
      </w:r>
    </w:p>
    <w:p w14:paraId="199CA845" w14:textId="2A60F919" w:rsidR="00492F2D" w:rsidRDefault="00E32C50" w:rsidP="00492F2D">
      <w:pPr>
        <w:pStyle w:val="Heading2"/>
        <w:ind w:left="0" w:firstLine="0"/>
      </w:pPr>
      <w:r>
        <w:t>A</w:t>
      </w:r>
      <w:r w:rsidR="00492F2D">
        <w:t>.5</w:t>
      </w:r>
      <w:r w:rsidR="00492F2D">
        <w:tab/>
      </w:r>
      <w:r w:rsidR="00492F2D">
        <w:tab/>
        <w:t>Regenerative Architecture</w:t>
      </w:r>
    </w:p>
    <w:p w14:paraId="29F00D39" w14:textId="77777777" w:rsidR="00492F2D" w:rsidRDefault="00492F2D" w:rsidP="00492F2D">
      <w:pPr>
        <w:jc w:val="both"/>
        <w:rPr>
          <w:rFonts w:cs="Arial"/>
          <w:szCs w:val="20"/>
          <w:lang w:eastAsia="ja-JP"/>
        </w:rPr>
      </w:pPr>
      <w:r>
        <w:rPr>
          <w:lang w:val="en-GB" w:eastAsia="ja-JP"/>
        </w:rPr>
        <w:t xml:space="preserve">The Rel-16 SI on NTN investigated the feasibility of different architectures or split options to support NTN, while </w:t>
      </w:r>
      <w:r w:rsidRPr="00EE6863">
        <w:rPr>
          <w:rFonts w:cs="Arial"/>
          <w:szCs w:val="20"/>
          <w:lang w:val="en-GB" w:eastAsia="ja-JP"/>
        </w:rPr>
        <w:t xml:space="preserve">minimizing the need for new interfaces and protocols. In </w:t>
      </w:r>
      <w:r>
        <w:rPr>
          <w:rFonts w:cs="Arial"/>
          <w:szCs w:val="20"/>
          <w:lang w:val="en-GB" w:eastAsia="ja-JP"/>
        </w:rPr>
        <w:t xml:space="preserve">addition to the fully transparent option, </w:t>
      </w:r>
      <w:r w:rsidRPr="00EE6863">
        <w:rPr>
          <w:rFonts w:cs="Arial"/>
          <w:szCs w:val="20"/>
          <w:lang w:val="en-GB" w:eastAsia="ja-JP"/>
        </w:rPr>
        <w:t>two regenerative options have been studied in detail</w:t>
      </w:r>
      <w:r>
        <w:rPr>
          <w:rFonts w:cs="Arial"/>
          <w:szCs w:val="20"/>
          <w:lang w:val="en-GB" w:eastAsia="ja-JP"/>
        </w:rPr>
        <w:t>, the f</w:t>
      </w:r>
      <w:r w:rsidRPr="00EE6863">
        <w:rPr>
          <w:rFonts w:cs="Arial"/>
          <w:szCs w:val="20"/>
          <w:lang w:val="en-GB" w:eastAsia="ja-JP"/>
        </w:rPr>
        <w:t>ull gNB on board the satellite (gNB processed payload)</w:t>
      </w:r>
      <w:r>
        <w:rPr>
          <w:rFonts w:cs="Arial"/>
          <w:szCs w:val="20"/>
          <w:lang w:val="en-GB" w:eastAsia="ja-JP"/>
        </w:rPr>
        <w:t xml:space="preserve"> and the </w:t>
      </w:r>
      <w:r w:rsidRPr="006312F8">
        <w:rPr>
          <w:rFonts w:cs="Arial"/>
          <w:szCs w:val="20"/>
          <w:lang w:eastAsia="ja-JP"/>
        </w:rPr>
        <w:t>DU on board (gNB-DU processed pay</w:t>
      </w:r>
      <w:r>
        <w:rPr>
          <w:rFonts w:cs="Arial"/>
          <w:szCs w:val="20"/>
          <w:lang w:eastAsia="ja-JP"/>
        </w:rPr>
        <w:t>load) [1].</w:t>
      </w:r>
    </w:p>
    <w:p w14:paraId="79381959" w14:textId="77777777" w:rsidR="00492F2D" w:rsidRDefault="00492F2D" w:rsidP="00492F2D">
      <w:pPr>
        <w:pStyle w:val="Observation"/>
        <w:ind w:left="1710" w:hanging="1710"/>
      </w:pPr>
      <w:bookmarkStart w:id="17" w:name="_Toc152606809"/>
      <w:r>
        <w:t>The Rel-16 SI on NTN has investigated various NTN architectures; there is no need to repeat these studies.</w:t>
      </w:r>
      <w:bookmarkEnd w:id="17"/>
    </w:p>
    <w:p w14:paraId="78315CC5" w14:textId="77777777" w:rsidR="00492F2D" w:rsidRDefault="00492F2D" w:rsidP="00492F2D">
      <w:pPr>
        <w:jc w:val="both"/>
        <w:rPr>
          <w:rFonts w:cs="Arial"/>
          <w:szCs w:val="20"/>
          <w:lang w:eastAsia="ja-JP"/>
        </w:rPr>
      </w:pPr>
      <w:r>
        <w:rPr>
          <w:rFonts w:cs="Arial"/>
          <w:szCs w:val="20"/>
          <w:lang w:eastAsia="ja-JP"/>
        </w:rPr>
        <w:t xml:space="preserve">The least specification impact was expected with the transparent </w:t>
      </w:r>
      <w:proofErr w:type="gramStart"/>
      <w:r>
        <w:rPr>
          <w:rFonts w:cs="Arial"/>
          <w:szCs w:val="20"/>
          <w:lang w:eastAsia="ja-JP"/>
        </w:rPr>
        <w:t>option,</w:t>
      </w:r>
      <w:proofErr w:type="gramEnd"/>
      <w:r>
        <w:rPr>
          <w:rFonts w:cs="Arial"/>
          <w:szCs w:val="20"/>
          <w:lang w:eastAsia="ja-JP"/>
        </w:rPr>
        <w:t xml:space="preserve"> therefore it was selected to be standardized in Rel-17. TS 38.300 contains a description of the NTN architecture that explicitly describes it as transparent [2]:</w:t>
      </w:r>
    </w:p>
    <w:p w14:paraId="18C0F212" w14:textId="77777777" w:rsidR="00492F2D" w:rsidRDefault="00492F2D" w:rsidP="00492F2D">
      <w:pPr>
        <w:jc w:val="center"/>
        <w:rPr>
          <w:rFonts w:cs="Arial"/>
          <w:szCs w:val="20"/>
          <w:lang w:eastAsia="ja-JP"/>
        </w:rPr>
      </w:pPr>
      <w:r w:rsidRPr="00A80802">
        <w:rPr>
          <w:noProof/>
        </w:rPr>
        <w:drawing>
          <wp:inline distT="0" distB="0" distL="0" distR="0" wp14:anchorId="52F0544D" wp14:editId="68DEF885">
            <wp:extent cx="5331350" cy="453156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334603" cy="4534329"/>
                    </a:xfrm>
                    <a:prstGeom prst="rect">
                      <a:avLst/>
                    </a:prstGeom>
                    <a:noFill/>
                    <a:ln>
                      <a:noFill/>
                    </a:ln>
                  </pic:spPr>
                </pic:pic>
              </a:graphicData>
            </a:graphic>
          </wp:inline>
        </w:drawing>
      </w:r>
    </w:p>
    <w:p w14:paraId="3D1363CC" w14:textId="77777777" w:rsidR="00492F2D" w:rsidRDefault="00492F2D" w:rsidP="00492F2D">
      <w:pPr>
        <w:pStyle w:val="Observation"/>
        <w:ind w:left="1710" w:hanging="1710"/>
      </w:pPr>
      <w:bookmarkStart w:id="18" w:name="_Toc152606810"/>
      <w:r>
        <w:t>Rel-17 specifications (TS 38.300) indicate a transparent architecture.</w:t>
      </w:r>
      <w:bookmarkEnd w:id="18"/>
    </w:p>
    <w:p w14:paraId="2BE858FC" w14:textId="77777777" w:rsidR="00492F2D" w:rsidRDefault="00492F2D" w:rsidP="00492F2D">
      <w:pPr>
        <w:jc w:val="both"/>
        <w:rPr>
          <w:rFonts w:cs="Arial"/>
          <w:lang w:eastAsia="ja-JP"/>
        </w:rPr>
      </w:pPr>
      <w:r w:rsidRPr="2B92249F">
        <w:rPr>
          <w:rFonts w:cs="Arial"/>
          <w:lang w:eastAsia="ja-JP"/>
        </w:rPr>
        <w:t>It is clear, however, that a regenerative solution</w:t>
      </w:r>
      <w:r>
        <w:rPr>
          <w:rFonts w:cs="Arial"/>
          <w:lang w:eastAsia="ja-JP"/>
        </w:rPr>
        <w:t xml:space="preserve"> with the full gNB on board</w:t>
      </w:r>
      <w:r w:rsidRPr="2B92249F">
        <w:rPr>
          <w:rFonts w:cs="Arial"/>
          <w:lang w:eastAsia="ja-JP"/>
        </w:rPr>
        <w:t xml:space="preserve"> is the most flexible option and offers the best performance (e.g.</w:t>
      </w:r>
      <w:r>
        <w:rPr>
          <w:rFonts w:cs="Arial"/>
          <w:lang w:eastAsia="ja-JP"/>
        </w:rPr>
        <w:t>,</w:t>
      </w:r>
      <w:r w:rsidRPr="2B92249F">
        <w:rPr>
          <w:rFonts w:cs="Arial"/>
          <w:lang w:eastAsia="ja-JP"/>
        </w:rPr>
        <w:t xml:space="preserve"> significantly shorter round-trip time between UE and gNB). It would also be straightforward to implement the Xn interface between neighboring satellites using inter-satellite links.</w:t>
      </w:r>
      <w:r>
        <w:rPr>
          <w:rFonts w:cs="Arial"/>
          <w:lang w:eastAsia="ja-JP"/>
        </w:rPr>
        <w:t xml:space="preserve"> In addition, it would allow to place parts of</w:t>
      </w:r>
      <w:r w:rsidRPr="2B92249F">
        <w:rPr>
          <w:rFonts w:cs="Arial"/>
          <w:lang w:eastAsia="ja-JP"/>
        </w:rPr>
        <w:t xml:space="preserve"> </w:t>
      </w:r>
      <w:r>
        <w:rPr>
          <w:rFonts w:cs="Arial"/>
          <w:lang w:eastAsia="ja-JP"/>
        </w:rPr>
        <w:t xml:space="preserve">the core network functions (e.g., UPF) on board the satellite, which is a requirement for Store &amp; Forward operation as being studied in the agreed Rel-19 SA2 SI [3]. All such </w:t>
      </w:r>
      <w:r w:rsidRPr="2B92249F">
        <w:rPr>
          <w:rFonts w:cs="Arial"/>
          <w:lang w:eastAsia="ja-JP"/>
        </w:rPr>
        <w:t>feature</w:t>
      </w:r>
      <w:r>
        <w:rPr>
          <w:rFonts w:cs="Arial"/>
          <w:lang w:eastAsia="ja-JP"/>
        </w:rPr>
        <w:t>s</w:t>
      </w:r>
      <w:r w:rsidRPr="2B92249F">
        <w:rPr>
          <w:rFonts w:cs="Arial"/>
          <w:lang w:eastAsia="ja-JP"/>
        </w:rPr>
        <w:t xml:space="preserve"> would be precluded </w:t>
      </w:r>
      <w:r>
        <w:rPr>
          <w:rFonts w:cs="Arial"/>
          <w:lang w:eastAsia="ja-JP"/>
        </w:rPr>
        <w:t xml:space="preserve">as a standardized solution </w:t>
      </w:r>
      <w:r w:rsidRPr="2B92249F">
        <w:rPr>
          <w:rFonts w:cs="Arial"/>
          <w:lang w:eastAsia="ja-JP"/>
        </w:rPr>
        <w:t xml:space="preserve">if adopting </w:t>
      </w:r>
      <w:proofErr w:type="gramStart"/>
      <w:r w:rsidRPr="2B92249F">
        <w:rPr>
          <w:rFonts w:cs="Arial"/>
          <w:lang w:eastAsia="ja-JP"/>
        </w:rPr>
        <w:t>e.g.</w:t>
      </w:r>
      <w:proofErr w:type="gramEnd"/>
      <w:r w:rsidRPr="2B92249F">
        <w:rPr>
          <w:rFonts w:cs="Arial"/>
          <w:lang w:eastAsia="ja-JP"/>
        </w:rPr>
        <w:t xml:space="preserve"> the gNB-DU processed payload option.</w:t>
      </w:r>
    </w:p>
    <w:p w14:paraId="0BAA8727" w14:textId="77777777" w:rsidR="00492F2D" w:rsidRPr="00D93579" w:rsidRDefault="00492F2D" w:rsidP="00492F2D">
      <w:pPr>
        <w:pStyle w:val="Observation"/>
        <w:ind w:left="1710" w:hanging="1710"/>
      </w:pPr>
      <w:bookmarkStart w:id="19" w:name="_Toc152606811"/>
      <w:r>
        <w:t xml:space="preserve">An architecture with </w:t>
      </w:r>
      <w:r w:rsidRPr="005A4DC8">
        <w:t>on</w:t>
      </w:r>
      <w:r>
        <w:t>-</w:t>
      </w:r>
      <w:r w:rsidRPr="005A4DC8">
        <w:t xml:space="preserve">board </w:t>
      </w:r>
      <w:r>
        <w:t xml:space="preserve">gNB </w:t>
      </w:r>
      <w:r w:rsidRPr="005A4DC8">
        <w:t xml:space="preserve">offers is the </w:t>
      </w:r>
      <w:r>
        <w:t>most appropriate option, both from flexibility and performance point of view.</w:t>
      </w:r>
      <w:bookmarkEnd w:id="19"/>
    </w:p>
    <w:p w14:paraId="280FA136" w14:textId="77777777" w:rsidR="00492F2D" w:rsidRDefault="00492F2D" w:rsidP="00492F2D">
      <w:pPr>
        <w:rPr>
          <w:lang w:val="en-GB" w:eastAsia="ja-JP"/>
        </w:rPr>
      </w:pPr>
      <w:r>
        <w:rPr>
          <w:rFonts w:cs="Arial"/>
          <w:szCs w:val="20"/>
          <w:lang w:eastAsia="ja-JP"/>
        </w:rPr>
        <w:t xml:space="preserve">However, in our view, placing a gNB on board the satellite is already supported by the Rel-17 algorithms and enhancements. </w:t>
      </w:r>
      <w:r>
        <w:rPr>
          <w:lang w:val="en-GB" w:eastAsia="ja-JP"/>
        </w:rPr>
        <w:t xml:space="preserve">Confusion might arise from the fact that the high-level description in TS 38.300 explicitly </w:t>
      </w:r>
      <w:r>
        <w:rPr>
          <w:lang w:val="en-GB" w:eastAsia="ja-JP"/>
        </w:rPr>
        <w:lastRenderedPageBreak/>
        <w:t>mentions a transparent architecture. As a minimum, a clarification could be added to TS 38.300 stating that regenerative architecture is also supported. If further clarifications are needed, these should be addressed.</w:t>
      </w:r>
    </w:p>
    <w:p w14:paraId="7AA85760" w14:textId="77777777" w:rsidR="00492F2D" w:rsidRDefault="00492F2D" w:rsidP="00492F2D">
      <w:pPr>
        <w:pStyle w:val="Observation"/>
        <w:ind w:left="1710" w:hanging="1710"/>
      </w:pPr>
      <w:bookmarkStart w:id="20" w:name="_Toc152606812"/>
      <w:r>
        <w:t>Regenerative architecture with on-board gNB is already supported by the Rel-17 NTN solutions.</w:t>
      </w:r>
      <w:bookmarkEnd w:id="20"/>
    </w:p>
    <w:p w14:paraId="272CF803" w14:textId="77777777" w:rsidR="00492F2D" w:rsidRDefault="00492F2D" w:rsidP="00492F2D">
      <w:pPr>
        <w:pStyle w:val="Proposal"/>
        <w:rPr>
          <w:lang w:val="en-GB"/>
        </w:rPr>
      </w:pPr>
      <w:r>
        <w:rPr>
          <w:lang w:val="en-GB"/>
        </w:rPr>
        <w:t xml:space="preserve">Add a clarification to TS 38.300 for Rel-19, stating that a regenerative architecture with on-board gNB is supported. </w:t>
      </w:r>
      <w:r>
        <w:rPr>
          <w:lang w:val="en-GB" w:eastAsia="ja-JP"/>
        </w:rPr>
        <w:t>If further clarifications are needed, they should be addressed.</w:t>
      </w:r>
    </w:p>
    <w:p w14:paraId="03334191" w14:textId="07E03507" w:rsidR="00492F2D" w:rsidRDefault="00E32C50" w:rsidP="00492F2D">
      <w:pPr>
        <w:pStyle w:val="Heading2"/>
      </w:pPr>
      <w:r>
        <w:t>A</w:t>
      </w:r>
      <w:r w:rsidR="00492F2D">
        <w:t>.6</w:t>
      </w:r>
      <w:r w:rsidR="00492F2D">
        <w:tab/>
        <w:t>E</w:t>
      </w:r>
      <w:r w:rsidR="00492F2D" w:rsidRPr="00D342CF">
        <w:t>mulated satellite channel for variable delay and variable doppler frequency condition</w:t>
      </w:r>
      <w:r w:rsidR="00492F2D">
        <w:t xml:space="preserve"> (“TE-emulated channel model”)</w:t>
      </w:r>
    </w:p>
    <w:p w14:paraId="60670D2C" w14:textId="77777777" w:rsidR="00492F2D" w:rsidRPr="004D001D" w:rsidRDefault="00492F2D" w:rsidP="00492F2D">
      <w:pPr>
        <w:jc w:val="both"/>
        <w:rPr>
          <w:rFonts w:cs="Arial"/>
        </w:rPr>
      </w:pPr>
      <w:r>
        <w:t xml:space="preserve">RAN4 has completed </w:t>
      </w:r>
      <w:r w:rsidRPr="004D001D">
        <w:rPr>
          <w:rFonts w:cs="Arial"/>
          <w:szCs w:val="20"/>
        </w:rPr>
        <w:t>the RAN task on NTN testing (RP-232682) with below outcomes:</w:t>
      </w:r>
    </w:p>
    <w:p w14:paraId="6C714559" w14:textId="77777777" w:rsidR="00492F2D" w:rsidRPr="00DA41EC" w:rsidRDefault="00492F2D" w:rsidP="00492F2D">
      <w:pPr>
        <w:pStyle w:val="ListParagraph"/>
        <w:numPr>
          <w:ilvl w:val="0"/>
          <w:numId w:val="49"/>
        </w:numPr>
        <w:jc w:val="both"/>
        <w:rPr>
          <w:rFonts w:cs="Arial"/>
          <w:szCs w:val="20"/>
        </w:rPr>
      </w:pPr>
      <w:r w:rsidRPr="00060141">
        <w:rPr>
          <w:rFonts w:ascii="Arial" w:hAnsi="Arial" w:cs="Arial"/>
          <w:sz w:val="20"/>
          <w:szCs w:val="20"/>
        </w:rPr>
        <w:t>For RF frequency error test cases and all RRM test cases, applying constant non-zero Doppler and constant non-zero delay</w:t>
      </w:r>
      <w:r>
        <w:rPr>
          <w:rFonts w:ascii="Arial" w:hAnsi="Arial" w:cs="Arial"/>
          <w:sz w:val="20"/>
          <w:szCs w:val="20"/>
          <w:lang w:val="en-US"/>
        </w:rPr>
        <w:t>.</w:t>
      </w:r>
    </w:p>
    <w:p w14:paraId="507E5B8C" w14:textId="77777777" w:rsidR="00492F2D" w:rsidRDefault="00492F2D" w:rsidP="00492F2D">
      <w:pPr>
        <w:pStyle w:val="ListParagraph"/>
        <w:numPr>
          <w:ilvl w:val="0"/>
          <w:numId w:val="49"/>
        </w:numPr>
        <w:jc w:val="both"/>
        <w:rPr>
          <w:rFonts w:cs="Arial"/>
          <w:szCs w:val="20"/>
        </w:rPr>
      </w:pPr>
      <w:r w:rsidRPr="00060141">
        <w:rPr>
          <w:rFonts w:ascii="Arial" w:hAnsi="Arial" w:cs="Arial"/>
          <w:sz w:val="20"/>
          <w:szCs w:val="20"/>
        </w:rPr>
        <w:t>For other RF test cases and Demod test cases, applying zero Doppler and constant non-zero delay</w:t>
      </w:r>
      <w:r>
        <w:rPr>
          <w:rFonts w:ascii="Arial" w:hAnsi="Arial" w:cs="Arial"/>
          <w:sz w:val="20"/>
          <w:szCs w:val="20"/>
          <w:lang w:val="en-US"/>
        </w:rPr>
        <w:t>.</w:t>
      </w:r>
    </w:p>
    <w:p w14:paraId="1A8AD936" w14:textId="77777777" w:rsidR="00492F2D" w:rsidRPr="00C654E0" w:rsidRDefault="00492F2D" w:rsidP="00492F2D">
      <w:pPr>
        <w:pStyle w:val="ListParagraph"/>
        <w:jc w:val="both"/>
        <w:rPr>
          <w:rFonts w:cs="Arial"/>
          <w:szCs w:val="20"/>
        </w:rPr>
      </w:pPr>
    </w:p>
    <w:p w14:paraId="5BBBADCE" w14:textId="77777777" w:rsidR="00492F2D" w:rsidRPr="004D001D" w:rsidRDefault="00492F2D" w:rsidP="00492F2D">
      <w:pPr>
        <w:jc w:val="both"/>
        <w:rPr>
          <w:rFonts w:cs="Arial"/>
          <w:szCs w:val="20"/>
        </w:rPr>
      </w:pPr>
      <w:r w:rsidRPr="004D001D">
        <w:rPr>
          <w:rFonts w:cs="Arial"/>
          <w:szCs w:val="20"/>
        </w:rPr>
        <w:t>For frequency error test, RAN5 also agree</w:t>
      </w:r>
      <w:r>
        <w:rPr>
          <w:rFonts w:cs="Arial"/>
          <w:szCs w:val="20"/>
        </w:rPr>
        <w:t>d</w:t>
      </w:r>
      <w:r w:rsidRPr="004D001D">
        <w:rPr>
          <w:rFonts w:cs="Arial"/>
          <w:szCs w:val="20"/>
        </w:rPr>
        <w:t xml:space="preserve"> to disable the satellite trajectory prediction via preconfigured means (WF R5-237881). Therefore, the accumulated frequency error between the time </w:t>
      </w:r>
      <w:r>
        <w:rPr>
          <w:rFonts w:cs="Arial"/>
          <w:szCs w:val="20"/>
        </w:rPr>
        <w:t xml:space="preserve">of the </w:t>
      </w:r>
      <w:r w:rsidRPr="004D001D">
        <w:rPr>
          <w:rFonts w:cs="Arial"/>
          <w:szCs w:val="20"/>
        </w:rPr>
        <w:t xml:space="preserve">UE applying pre-compensation and the time </w:t>
      </w:r>
      <w:r>
        <w:rPr>
          <w:rFonts w:cs="Arial"/>
          <w:szCs w:val="20"/>
        </w:rPr>
        <w:t xml:space="preserve">of the </w:t>
      </w:r>
      <w:r w:rsidRPr="004D001D">
        <w:rPr>
          <w:rFonts w:cs="Arial"/>
          <w:szCs w:val="20"/>
        </w:rPr>
        <w:t>TE testing the pre-compensated doppler is not tested</w:t>
      </w:r>
      <w:r>
        <w:rPr>
          <w:rFonts w:cs="Arial"/>
          <w:szCs w:val="20"/>
        </w:rPr>
        <w:t>,</w:t>
      </w:r>
      <w:r w:rsidRPr="004D001D">
        <w:rPr>
          <w:rFonts w:cs="Arial"/>
          <w:szCs w:val="20"/>
        </w:rPr>
        <w:t xml:space="preserve"> based on constant frequency error test condition in Rel-18. This results in a gap on the performance expectation between what is tested in frequency error in Rel-18 and what is expected at network side according to what is specified in RAN1 specification</w:t>
      </w:r>
      <w:r>
        <w:rPr>
          <w:rFonts w:cs="Arial"/>
          <w:szCs w:val="20"/>
        </w:rPr>
        <w:t>s</w:t>
      </w:r>
      <w:r w:rsidRPr="004D001D">
        <w:rPr>
          <w:rFonts w:cs="Arial"/>
          <w:szCs w:val="20"/>
        </w:rPr>
        <w:t xml:space="preserve">. To remove this gap, we propose to introduce </w:t>
      </w:r>
      <w:r>
        <w:rPr>
          <w:rFonts w:cs="Arial"/>
          <w:szCs w:val="20"/>
        </w:rPr>
        <w:t xml:space="preserve">an </w:t>
      </w:r>
      <w:r w:rsidRPr="004D001D">
        <w:rPr>
          <w:rFonts w:cs="Arial"/>
          <w:szCs w:val="20"/>
        </w:rPr>
        <w:t>emulated channel model for variable doppler and testing the frequency error requirement for NTN UE with black box mode.</w:t>
      </w:r>
    </w:p>
    <w:p w14:paraId="4A0792B9" w14:textId="77777777" w:rsidR="00492F2D" w:rsidRPr="004D001D" w:rsidRDefault="00492F2D" w:rsidP="00492F2D">
      <w:pPr>
        <w:jc w:val="both"/>
        <w:rPr>
          <w:rFonts w:cs="Arial"/>
        </w:rPr>
      </w:pPr>
      <w:r w:rsidRPr="21E6E940">
        <w:rPr>
          <w:rFonts w:cs="Arial"/>
        </w:rPr>
        <w:t>Addit</w:t>
      </w:r>
      <w:r>
        <w:rPr>
          <w:rFonts w:cs="Arial"/>
        </w:rPr>
        <w:t>i</w:t>
      </w:r>
      <w:r w:rsidRPr="21E6E940">
        <w:rPr>
          <w:rFonts w:cs="Arial"/>
        </w:rPr>
        <w:t xml:space="preserve">onally, for </w:t>
      </w:r>
      <w:r>
        <w:rPr>
          <w:rFonts w:cs="Arial"/>
        </w:rPr>
        <w:t xml:space="preserve">the </w:t>
      </w:r>
      <w:r w:rsidRPr="21E6E940">
        <w:rPr>
          <w:rFonts w:cs="Arial"/>
        </w:rPr>
        <w:t>DMRS bundling requirement for NGSO, as the constant delay is mandated in RAN plenary, RAN4 agree</w:t>
      </w:r>
      <w:r>
        <w:rPr>
          <w:rFonts w:cs="Arial"/>
        </w:rPr>
        <w:t>d</w:t>
      </w:r>
      <w:r w:rsidRPr="21E6E940">
        <w:rPr>
          <w:rFonts w:cs="Arial"/>
        </w:rPr>
        <w:t xml:space="preserve"> to test the DMRS bundling for NGSO </w:t>
      </w:r>
      <w:r>
        <w:rPr>
          <w:rFonts w:cs="Arial"/>
        </w:rPr>
        <w:t xml:space="preserve">in </w:t>
      </w:r>
      <w:r w:rsidRPr="21E6E940">
        <w:rPr>
          <w:rFonts w:cs="Arial"/>
        </w:rPr>
        <w:t xml:space="preserve">the same </w:t>
      </w:r>
      <w:r>
        <w:rPr>
          <w:rFonts w:cs="Arial"/>
        </w:rPr>
        <w:t xml:space="preserve">way as </w:t>
      </w:r>
      <w:r w:rsidRPr="21E6E940">
        <w:rPr>
          <w:rFonts w:cs="Arial"/>
        </w:rPr>
        <w:t>for GSO</w:t>
      </w:r>
      <w:r>
        <w:rPr>
          <w:rFonts w:cs="Arial"/>
        </w:rPr>
        <w:t>,</w:t>
      </w:r>
      <w:r w:rsidRPr="21E6E940">
        <w:rPr>
          <w:rFonts w:cs="Arial"/>
        </w:rPr>
        <w:t xml:space="preserve"> which is under </w:t>
      </w:r>
      <w:r>
        <w:rPr>
          <w:rFonts w:cs="Arial"/>
        </w:rPr>
        <w:t xml:space="preserve">a </w:t>
      </w:r>
      <w:r w:rsidRPr="21E6E940">
        <w:rPr>
          <w:rFonts w:cs="Arial"/>
        </w:rPr>
        <w:t>constant delay. RAN4 agree</w:t>
      </w:r>
      <w:r>
        <w:rPr>
          <w:rFonts w:cs="Arial"/>
        </w:rPr>
        <w:t>d</w:t>
      </w:r>
      <w:r w:rsidRPr="21E6E940">
        <w:rPr>
          <w:rFonts w:cs="Arial"/>
        </w:rPr>
        <w:t xml:space="preserve"> to introduce variable delay for testing in </w:t>
      </w:r>
      <w:r>
        <w:rPr>
          <w:rFonts w:cs="Arial"/>
        </w:rPr>
        <w:t xml:space="preserve">a </w:t>
      </w:r>
      <w:r w:rsidRPr="21E6E940">
        <w:rPr>
          <w:rFonts w:cs="Arial"/>
        </w:rPr>
        <w:t>future release in WF (R4-2321974):</w:t>
      </w:r>
    </w:p>
    <w:p w14:paraId="1F94A9B6" w14:textId="77777777" w:rsidR="00492F2D" w:rsidRDefault="00492F2D" w:rsidP="00492F2D">
      <w:pPr>
        <w:pStyle w:val="ListParagraph"/>
        <w:numPr>
          <w:ilvl w:val="0"/>
          <w:numId w:val="47"/>
        </w:numPr>
        <w:jc w:val="both"/>
        <w:rPr>
          <w:rFonts w:ascii="Arial" w:hAnsi="Arial" w:cs="Arial"/>
          <w:sz w:val="20"/>
          <w:szCs w:val="20"/>
        </w:rPr>
      </w:pPr>
      <w:r w:rsidRPr="00060141">
        <w:rPr>
          <w:rFonts w:ascii="Arial" w:hAnsi="Arial" w:cs="Arial"/>
          <w:sz w:val="20"/>
          <w:szCs w:val="20"/>
        </w:rPr>
        <w:t>RAN4 recommend to specify side condition for NGSO under the varying Doppler and time delay in the future release</w:t>
      </w:r>
    </w:p>
    <w:p w14:paraId="253F712D" w14:textId="77777777" w:rsidR="00492F2D" w:rsidRPr="00C654E0" w:rsidRDefault="00492F2D" w:rsidP="00492F2D">
      <w:pPr>
        <w:pStyle w:val="ListParagraph"/>
        <w:jc w:val="both"/>
        <w:rPr>
          <w:rFonts w:cs="Arial"/>
          <w:szCs w:val="20"/>
        </w:rPr>
      </w:pPr>
    </w:p>
    <w:p w14:paraId="0DE59ED2" w14:textId="77777777" w:rsidR="00492F2D" w:rsidRPr="00060141" w:rsidRDefault="00492F2D" w:rsidP="00492F2D">
      <w:pPr>
        <w:jc w:val="both"/>
        <w:rPr>
          <w:rFonts w:cs="Arial"/>
          <w:szCs w:val="20"/>
        </w:rPr>
      </w:pPr>
      <w:r w:rsidRPr="008B3ADC">
        <w:rPr>
          <w:rFonts w:cs="Arial"/>
          <w:szCs w:val="20"/>
        </w:rPr>
        <w:t xml:space="preserve">Testing the DMRS bundling requirement for NGSO with constant delay may result in the risk that </w:t>
      </w:r>
      <w:r>
        <w:rPr>
          <w:rFonts w:cs="Arial"/>
          <w:szCs w:val="20"/>
        </w:rPr>
        <w:t xml:space="preserve">the </w:t>
      </w:r>
      <w:r w:rsidRPr="008B3ADC">
        <w:rPr>
          <w:rFonts w:cs="Arial"/>
          <w:szCs w:val="20"/>
        </w:rPr>
        <w:t xml:space="preserve">UE may not fulfill the phase coherence requirement in </w:t>
      </w:r>
      <w:r>
        <w:rPr>
          <w:rFonts w:cs="Arial"/>
          <w:szCs w:val="20"/>
        </w:rPr>
        <w:t xml:space="preserve">a </w:t>
      </w:r>
      <w:r w:rsidRPr="008B3ADC">
        <w:rPr>
          <w:rFonts w:cs="Arial"/>
          <w:szCs w:val="20"/>
        </w:rPr>
        <w:t xml:space="preserve">network with variable delay variation in NGSO constellation. To eliminate this risk, we propose to introduce the emulated channel model for variable delay and testing the DMRS bundling </w:t>
      </w:r>
      <w:r>
        <w:rPr>
          <w:rFonts w:cs="Arial"/>
          <w:szCs w:val="20"/>
        </w:rPr>
        <w:t>requirement</w:t>
      </w:r>
      <w:r w:rsidRPr="008B3ADC">
        <w:rPr>
          <w:rFonts w:cs="Arial"/>
          <w:szCs w:val="20"/>
        </w:rPr>
        <w:t xml:space="preserve"> for NTN UE with such test condition.</w:t>
      </w:r>
    </w:p>
    <w:p w14:paraId="3D0A9F1A" w14:textId="77777777" w:rsidR="00492F2D" w:rsidRPr="00355F8B" w:rsidRDefault="00492F2D" w:rsidP="00492F2D">
      <w:pPr>
        <w:pStyle w:val="Proposal"/>
      </w:pPr>
      <w:r w:rsidRPr="00355F8B">
        <w:t>Introduce an emulated satellite channel with variable delay and variable doppler frequency for UE testing.</w:t>
      </w:r>
    </w:p>
    <w:p w14:paraId="5B8686DB" w14:textId="77777777" w:rsidR="00492F2D" w:rsidRPr="00D342CF" w:rsidRDefault="00492F2D" w:rsidP="00492F2D">
      <w:pPr>
        <w:pStyle w:val="Proposal"/>
      </w:pPr>
      <w:r w:rsidRPr="00D342CF">
        <w:t>Specify enhanced test condition</w:t>
      </w:r>
      <w:r>
        <w:t>s</w:t>
      </w:r>
      <w:r w:rsidRPr="00D342CF">
        <w:t xml:space="preserve"> for RF frequency error requirement and DMRS bundling for NGSO</w:t>
      </w:r>
      <w:r>
        <w:t>.</w:t>
      </w:r>
    </w:p>
    <w:p w14:paraId="3D884F63" w14:textId="77777777" w:rsidR="003A7EF3" w:rsidRPr="00492F2D" w:rsidRDefault="003A7EF3" w:rsidP="00492F2D">
      <w:pPr>
        <w:rPr>
          <w:lang w:eastAsia="ja-JP"/>
        </w:rPr>
      </w:pPr>
    </w:p>
    <w:sectPr w:rsidR="003A7EF3" w:rsidRPr="00492F2D"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493B66" w14:textId="77777777" w:rsidR="00B02272" w:rsidRDefault="00B02272">
      <w:r>
        <w:separator/>
      </w:r>
    </w:p>
  </w:endnote>
  <w:endnote w:type="continuationSeparator" w:id="0">
    <w:p w14:paraId="0CE91FB3" w14:textId="77777777" w:rsidR="00B02272" w:rsidRDefault="00B02272">
      <w:r>
        <w:continuationSeparator/>
      </w:r>
    </w:p>
  </w:endnote>
  <w:endnote w:type="continuationNotice" w:id="1">
    <w:p w14:paraId="3988064A" w14:textId="77777777" w:rsidR="00B02272" w:rsidRDefault="00B0227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panose1 w:val="000005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A802E7" w14:textId="77777777" w:rsidR="00B02272" w:rsidRDefault="00B02272">
      <w:r>
        <w:separator/>
      </w:r>
    </w:p>
  </w:footnote>
  <w:footnote w:type="continuationSeparator" w:id="0">
    <w:p w14:paraId="0C7BF36C" w14:textId="77777777" w:rsidR="00B02272" w:rsidRDefault="00B02272">
      <w:r>
        <w:continuationSeparator/>
      </w:r>
    </w:p>
  </w:footnote>
  <w:footnote w:type="continuationNotice" w:id="1">
    <w:p w14:paraId="5D88BEA8" w14:textId="77777777" w:rsidR="00B02272" w:rsidRDefault="00B0227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EAB3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1BC60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38051B"/>
    <w:multiLevelType w:val="hybridMultilevel"/>
    <w:tmpl w:val="FF226D08"/>
    <w:lvl w:ilvl="0" w:tplc="45265A4E">
      <w:start w:val="1"/>
      <w:numFmt w:val="bullet"/>
      <w:lvlText w:val="●"/>
      <w:lvlJc w:val="left"/>
      <w:pPr>
        <w:tabs>
          <w:tab w:val="num" w:pos="720"/>
        </w:tabs>
        <w:ind w:left="720" w:hanging="360"/>
      </w:pPr>
      <w:rPr>
        <w:rFonts w:ascii="Ericsson Hilda" w:hAnsi="Ericsson Hilda" w:hint="default"/>
      </w:rPr>
    </w:lvl>
    <w:lvl w:ilvl="1" w:tplc="BC56E77E">
      <w:numFmt w:val="bullet"/>
      <w:lvlText w:val="–"/>
      <w:lvlJc w:val="left"/>
      <w:pPr>
        <w:tabs>
          <w:tab w:val="num" w:pos="1440"/>
        </w:tabs>
        <w:ind w:left="1440" w:hanging="360"/>
      </w:pPr>
      <w:rPr>
        <w:rFonts w:ascii="Ericsson Hilda" w:hAnsi="Ericsson Hilda" w:hint="default"/>
      </w:rPr>
    </w:lvl>
    <w:lvl w:ilvl="2" w:tplc="88187AB6" w:tentative="1">
      <w:start w:val="1"/>
      <w:numFmt w:val="bullet"/>
      <w:lvlText w:val="●"/>
      <w:lvlJc w:val="left"/>
      <w:pPr>
        <w:tabs>
          <w:tab w:val="num" w:pos="2160"/>
        </w:tabs>
        <w:ind w:left="2160" w:hanging="360"/>
      </w:pPr>
      <w:rPr>
        <w:rFonts w:ascii="Ericsson Hilda" w:hAnsi="Ericsson Hilda" w:hint="default"/>
      </w:rPr>
    </w:lvl>
    <w:lvl w:ilvl="3" w:tplc="277E8C28" w:tentative="1">
      <w:start w:val="1"/>
      <w:numFmt w:val="bullet"/>
      <w:lvlText w:val="●"/>
      <w:lvlJc w:val="left"/>
      <w:pPr>
        <w:tabs>
          <w:tab w:val="num" w:pos="2880"/>
        </w:tabs>
        <w:ind w:left="2880" w:hanging="360"/>
      </w:pPr>
      <w:rPr>
        <w:rFonts w:ascii="Ericsson Hilda" w:hAnsi="Ericsson Hilda" w:hint="default"/>
      </w:rPr>
    </w:lvl>
    <w:lvl w:ilvl="4" w:tplc="54F84348" w:tentative="1">
      <w:start w:val="1"/>
      <w:numFmt w:val="bullet"/>
      <w:lvlText w:val="●"/>
      <w:lvlJc w:val="left"/>
      <w:pPr>
        <w:tabs>
          <w:tab w:val="num" w:pos="3600"/>
        </w:tabs>
        <w:ind w:left="3600" w:hanging="360"/>
      </w:pPr>
      <w:rPr>
        <w:rFonts w:ascii="Ericsson Hilda" w:hAnsi="Ericsson Hilda" w:hint="default"/>
      </w:rPr>
    </w:lvl>
    <w:lvl w:ilvl="5" w:tplc="95FEA98C" w:tentative="1">
      <w:start w:val="1"/>
      <w:numFmt w:val="bullet"/>
      <w:lvlText w:val="●"/>
      <w:lvlJc w:val="left"/>
      <w:pPr>
        <w:tabs>
          <w:tab w:val="num" w:pos="4320"/>
        </w:tabs>
        <w:ind w:left="4320" w:hanging="360"/>
      </w:pPr>
      <w:rPr>
        <w:rFonts w:ascii="Ericsson Hilda" w:hAnsi="Ericsson Hilda" w:hint="default"/>
      </w:rPr>
    </w:lvl>
    <w:lvl w:ilvl="6" w:tplc="D004DC54" w:tentative="1">
      <w:start w:val="1"/>
      <w:numFmt w:val="bullet"/>
      <w:lvlText w:val="●"/>
      <w:lvlJc w:val="left"/>
      <w:pPr>
        <w:tabs>
          <w:tab w:val="num" w:pos="5040"/>
        </w:tabs>
        <w:ind w:left="5040" w:hanging="360"/>
      </w:pPr>
      <w:rPr>
        <w:rFonts w:ascii="Ericsson Hilda" w:hAnsi="Ericsson Hilda" w:hint="default"/>
      </w:rPr>
    </w:lvl>
    <w:lvl w:ilvl="7" w:tplc="09ECE54E" w:tentative="1">
      <w:start w:val="1"/>
      <w:numFmt w:val="bullet"/>
      <w:lvlText w:val="●"/>
      <w:lvlJc w:val="left"/>
      <w:pPr>
        <w:tabs>
          <w:tab w:val="num" w:pos="5760"/>
        </w:tabs>
        <w:ind w:left="5760" w:hanging="360"/>
      </w:pPr>
      <w:rPr>
        <w:rFonts w:ascii="Ericsson Hilda" w:hAnsi="Ericsson Hilda" w:hint="default"/>
      </w:rPr>
    </w:lvl>
    <w:lvl w:ilvl="8" w:tplc="9F889CB2" w:tentative="1">
      <w:start w:val="1"/>
      <w:numFmt w:val="bullet"/>
      <w:lvlText w:val="●"/>
      <w:lvlJc w:val="left"/>
      <w:pPr>
        <w:tabs>
          <w:tab w:val="num" w:pos="6480"/>
        </w:tabs>
        <w:ind w:left="6480" w:hanging="360"/>
      </w:pPr>
      <w:rPr>
        <w:rFonts w:ascii="Ericsson Hilda" w:hAnsi="Ericsson Hilda"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6867AAD"/>
    <w:multiLevelType w:val="multilevel"/>
    <w:tmpl w:val="3828B3C2"/>
    <w:lvl w:ilvl="0">
      <w:start w:val="2"/>
      <w:numFmt w:val="decimal"/>
      <w:lvlText w:val="%1"/>
      <w:lvlJc w:val="left"/>
      <w:pPr>
        <w:ind w:left="640" w:hanging="640"/>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06A2225A"/>
    <w:multiLevelType w:val="hybridMultilevel"/>
    <w:tmpl w:val="F80A2E92"/>
    <w:lvl w:ilvl="0" w:tplc="FF7A90E4">
      <w:start w:val="2"/>
      <w:numFmt w:val="bullet"/>
      <w:lvlText w:val="-"/>
      <w:lvlJc w:val="left"/>
      <w:pPr>
        <w:ind w:left="720" w:hanging="360"/>
      </w:pPr>
      <w:rPr>
        <w:rFonts w:ascii="Arial" w:eastAsiaTheme="minorHAnsi"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7" w15:restartNumberingAfterBreak="0">
    <w:nsid w:val="079A6229"/>
    <w:multiLevelType w:val="hybridMultilevel"/>
    <w:tmpl w:val="057839D8"/>
    <w:lvl w:ilvl="0" w:tplc="5EFC55BE">
      <w:start w:val="1"/>
      <w:numFmt w:val="bullet"/>
      <w:lvlText w:val="●"/>
      <w:lvlJc w:val="left"/>
      <w:pPr>
        <w:tabs>
          <w:tab w:val="num" w:pos="720"/>
        </w:tabs>
        <w:ind w:left="720" w:hanging="360"/>
      </w:pPr>
      <w:rPr>
        <w:rFonts w:ascii="Ericsson Hilda" w:hAnsi="Ericsson Hilda" w:hint="default"/>
      </w:rPr>
    </w:lvl>
    <w:lvl w:ilvl="1" w:tplc="DF56A59C" w:tentative="1">
      <w:start w:val="1"/>
      <w:numFmt w:val="bullet"/>
      <w:lvlText w:val="●"/>
      <w:lvlJc w:val="left"/>
      <w:pPr>
        <w:tabs>
          <w:tab w:val="num" w:pos="1440"/>
        </w:tabs>
        <w:ind w:left="1440" w:hanging="360"/>
      </w:pPr>
      <w:rPr>
        <w:rFonts w:ascii="Ericsson Hilda" w:hAnsi="Ericsson Hilda" w:hint="default"/>
      </w:rPr>
    </w:lvl>
    <w:lvl w:ilvl="2" w:tplc="D70C9798" w:tentative="1">
      <w:start w:val="1"/>
      <w:numFmt w:val="bullet"/>
      <w:lvlText w:val="●"/>
      <w:lvlJc w:val="left"/>
      <w:pPr>
        <w:tabs>
          <w:tab w:val="num" w:pos="2160"/>
        </w:tabs>
        <w:ind w:left="2160" w:hanging="360"/>
      </w:pPr>
      <w:rPr>
        <w:rFonts w:ascii="Ericsson Hilda" w:hAnsi="Ericsson Hilda" w:hint="default"/>
      </w:rPr>
    </w:lvl>
    <w:lvl w:ilvl="3" w:tplc="33AE05E6" w:tentative="1">
      <w:start w:val="1"/>
      <w:numFmt w:val="bullet"/>
      <w:lvlText w:val="●"/>
      <w:lvlJc w:val="left"/>
      <w:pPr>
        <w:tabs>
          <w:tab w:val="num" w:pos="2880"/>
        </w:tabs>
        <w:ind w:left="2880" w:hanging="360"/>
      </w:pPr>
      <w:rPr>
        <w:rFonts w:ascii="Ericsson Hilda" w:hAnsi="Ericsson Hilda" w:hint="default"/>
      </w:rPr>
    </w:lvl>
    <w:lvl w:ilvl="4" w:tplc="87B81B72" w:tentative="1">
      <w:start w:val="1"/>
      <w:numFmt w:val="bullet"/>
      <w:lvlText w:val="●"/>
      <w:lvlJc w:val="left"/>
      <w:pPr>
        <w:tabs>
          <w:tab w:val="num" w:pos="3600"/>
        </w:tabs>
        <w:ind w:left="3600" w:hanging="360"/>
      </w:pPr>
      <w:rPr>
        <w:rFonts w:ascii="Ericsson Hilda" w:hAnsi="Ericsson Hilda" w:hint="default"/>
      </w:rPr>
    </w:lvl>
    <w:lvl w:ilvl="5" w:tplc="6EE2735A" w:tentative="1">
      <w:start w:val="1"/>
      <w:numFmt w:val="bullet"/>
      <w:lvlText w:val="●"/>
      <w:lvlJc w:val="left"/>
      <w:pPr>
        <w:tabs>
          <w:tab w:val="num" w:pos="4320"/>
        </w:tabs>
        <w:ind w:left="4320" w:hanging="360"/>
      </w:pPr>
      <w:rPr>
        <w:rFonts w:ascii="Ericsson Hilda" w:hAnsi="Ericsson Hilda" w:hint="default"/>
      </w:rPr>
    </w:lvl>
    <w:lvl w:ilvl="6" w:tplc="BAECAA4E" w:tentative="1">
      <w:start w:val="1"/>
      <w:numFmt w:val="bullet"/>
      <w:lvlText w:val="●"/>
      <w:lvlJc w:val="left"/>
      <w:pPr>
        <w:tabs>
          <w:tab w:val="num" w:pos="5040"/>
        </w:tabs>
        <w:ind w:left="5040" w:hanging="360"/>
      </w:pPr>
      <w:rPr>
        <w:rFonts w:ascii="Ericsson Hilda" w:hAnsi="Ericsson Hilda" w:hint="default"/>
      </w:rPr>
    </w:lvl>
    <w:lvl w:ilvl="7" w:tplc="FDA8A9A8" w:tentative="1">
      <w:start w:val="1"/>
      <w:numFmt w:val="bullet"/>
      <w:lvlText w:val="●"/>
      <w:lvlJc w:val="left"/>
      <w:pPr>
        <w:tabs>
          <w:tab w:val="num" w:pos="5760"/>
        </w:tabs>
        <w:ind w:left="5760" w:hanging="360"/>
      </w:pPr>
      <w:rPr>
        <w:rFonts w:ascii="Ericsson Hilda" w:hAnsi="Ericsson Hilda" w:hint="default"/>
      </w:rPr>
    </w:lvl>
    <w:lvl w:ilvl="8" w:tplc="3972210E" w:tentative="1">
      <w:start w:val="1"/>
      <w:numFmt w:val="bullet"/>
      <w:lvlText w:val="●"/>
      <w:lvlJc w:val="left"/>
      <w:pPr>
        <w:tabs>
          <w:tab w:val="num" w:pos="6480"/>
        </w:tabs>
        <w:ind w:left="6480" w:hanging="360"/>
      </w:pPr>
      <w:rPr>
        <w:rFonts w:ascii="Ericsson Hilda" w:hAnsi="Ericsson Hilda"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0ED0AA4"/>
    <w:multiLevelType w:val="hybridMultilevel"/>
    <w:tmpl w:val="130ABAD6"/>
    <w:lvl w:ilvl="0" w:tplc="C1CAE774">
      <w:start w:val="2"/>
      <w:numFmt w:val="bullet"/>
      <w:lvlText w:val="-"/>
      <w:lvlJc w:val="left"/>
      <w:pPr>
        <w:ind w:left="720" w:hanging="360"/>
      </w:pPr>
      <w:rPr>
        <w:rFonts w:ascii="Arial" w:eastAsiaTheme="minorHAnsi"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0"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12E2122F"/>
    <w:multiLevelType w:val="hybridMultilevel"/>
    <w:tmpl w:val="1156768E"/>
    <w:lvl w:ilvl="0" w:tplc="941C8CC0">
      <w:start w:val="2"/>
      <w:numFmt w:val="bullet"/>
      <w:lvlText w:val="-"/>
      <w:lvlJc w:val="left"/>
      <w:pPr>
        <w:ind w:left="720" w:hanging="360"/>
      </w:pPr>
      <w:rPr>
        <w:rFonts w:ascii="Arial" w:eastAsiaTheme="minorHAnsi"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2" w15:restartNumberingAfterBreak="0">
    <w:nsid w:val="171CD88A"/>
    <w:multiLevelType w:val="hybridMultilevel"/>
    <w:tmpl w:val="FFFFFFFF"/>
    <w:lvl w:ilvl="0" w:tplc="12DCEF52">
      <w:start w:val="1"/>
      <w:numFmt w:val="bullet"/>
      <w:lvlText w:val=""/>
      <w:lvlJc w:val="left"/>
      <w:pPr>
        <w:ind w:left="720" w:hanging="360"/>
      </w:pPr>
      <w:rPr>
        <w:rFonts w:ascii="Symbol" w:hAnsi="Symbol" w:hint="default"/>
      </w:rPr>
    </w:lvl>
    <w:lvl w:ilvl="1" w:tplc="AAAC34FA">
      <w:start w:val="1"/>
      <w:numFmt w:val="bullet"/>
      <w:lvlText w:val="o"/>
      <w:lvlJc w:val="left"/>
      <w:pPr>
        <w:ind w:left="1440" w:hanging="360"/>
      </w:pPr>
      <w:rPr>
        <w:rFonts w:ascii="Courier New" w:hAnsi="Courier New" w:hint="default"/>
      </w:rPr>
    </w:lvl>
    <w:lvl w:ilvl="2" w:tplc="CDA8503E">
      <w:start w:val="1"/>
      <w:numFmt w:val="bullet"/>
      <w:lvlText w:val=""/>
      <w:lvlJc w:val="left"/>
      <w:pPr>
        <w:ind w:left="2160" w:hanging="360"/>
      </w:pPr>
      <w:rPr>
        <w:rFonts w:ascii="Wingdings" w:hAnsi="Wingdings" w:hint="default"/>
      </w:rPr>
    </w:lvl>
    <w:lvl w:ilvl="3" w:tplc="C942865E">
      <w:start w:val="1"/>
      <w:numFmt w:val="bullet"/>
      <w:lvlText w:val=""/>
      <w:lvlJc w:val="left"/>
      <w:pPr>
        <w:ind w:left="2880" w:hanging="360"/>
      </w:pPr>
      <w:rPr>
        <w:rFonts w:ascii="Symbol" w:hAnsi="Symbol" w:hint="default"/>
      </w:rPr>
    </w:lvl>
    <w:lvl w:ilvl="4" w:tplc="4126DBE2">
      <w:start w:val="1"/>
      <w:numFmt w:val="bullet"/>
      <w:lvlText w:val="o"/>
      <w:lvlJc w:val="left"/>
      <w:pPr>
        <w:ind w:left="3600" w:hanging="360"/>
      </w:pPr>
      <w:rPr>
        <w:rFonts w:ascii="Courier New" w:hAnsi="Courier New" w:hint="default"/>
      </w:rPr>
    </w:lvl>
    <w:lvl w:ilvl="5" w:tplc="0C965842">
      <w:start w:val="1"/>
      <w:numFmt w:val="bullet"/>
      <w:lvlText w:val=""/>
      <w:lvlJc w:val="left"/>
      <w:pPr>
        <w:ind w:left="4320" w:hanging="360"/>
      </w:pPr>
      <w:rPr>
        <w:rFonts w:ascii="Wingdings" w:hAnsi="Wingdings" w:hint="default"/>
      </w:rPr>
    </w:lvl>
    <w:lvl w:ilvl="6" w:tplc="52201156">
      <w:start w:val="1"/>
      <w:numFmt w:val="bullet"/>
      <w:lvlText w:val=""/>
      <w:lvlJc w:val="left"/>
      <w:pPr>
        <w:ind w:left="5040" w:hanging="360"/>
      </w:pPr>
      <w:rPr>
        <w:rFonts w:ascii="Symbol" w:hAnsi="Symbol" w:hint="default"/>
      </w:rPr>
    </w:lvl>
    <w:lvl w:ilvl="7" w:tplc="902A2484">
      <w:start w:val="1"/>
      <w:numFmt w:val="bullet"/>
      <w:lvlText w:val="o"/>
      <w:lvlJc w:val="left"/>
      <w:pPr>
        <w:ind w:left="5760" w:hanging="360"/>
      </w:pPr>
      <w:rPr>
        <w:rFonts w:ascii="Courier New" w:hAnsi="Courier New" w:hint="default"/>
      </w:rPr>
    </w:lvl>
    <w:lvl w:ilvl="8" w:tplc="2070B56C">
      <w:start w:val="1"/>
      <w:numFmt w:val="bullet"/>
      <w:lvlText w:val=""/>
      <w:lvlJc w:val="left"/>
      <w:pPr>
        <w:ind w:left="6480" w:hanging="360"/>
      </w:pPr>
      <w:rPr>
        <w:rFonts w:ascii="Wingdings" w:hAnsi="Wingdings" w:hint="default"/>
      </w:rPr>
    </w:lvl>
  </w:abstractNum>
  <w:abstractNum w:abstractNumId="13" w15:restartNumberingAfterBreak="0">
    <w:nsid w:val="17AF5068"/>
    <w:multiLevelType w:val="hybridMultilevel"/>
    <w:tmpl w:val="FA6491EA"/>
    <w:lvl w:ilvl="0" w:tplc="2D9AE000">
      <w:start w:val="1"/>
      <w:numFmt w:val="bullet"/>
      <w:lvlText w:val="●"/>
      <w:lvlJc w:val="left"/>
      <w:pPr>
        <w:tabs>
          <w:tab w:val="num" w:pos="720"/>
        </w:tabs>
        <w:ind w:left="720" w:hanging="360"/>
      </w:pPr>
      <w:rPr>
        <w:rFonts w:ascii="Ericsson Hilda" w:hAnsi="Ericsson Hilda" w:hint="default"/>
      </w:rPr>
    </w:lvl>
    <w:lvl w:ilvl="1" w:tplc="00E6CA08">
      <w:numFmt w:val="bullet"/>
      <w:lvlText w:val="–"/>
      <w:lvlJc w:val="left"/>
      <w:pPr>
        <w:tabs>
          <w:tab w:val="num" w:pos="1440"/>
        </w:tabs>
        <w:ind w:left="1440" w:hanging="360"/>
      </w:pPr>
      <w:rPr>
        <w:rFonts w:ascii="Ericsson Hilda" w:hAnsi="Ericsson Hilda" w:hint="default"/>
      </w:rPr>
    </w:lvl>
    <w:lvl w:ilvl="2" w:tplc="20D62A5C" w:tentative="1">
      <w:start w:val="1"/>
      <w:numFmt w:val="bullet"/>
      <w:lvlText w:val="●"/>
      <w:lvlJc w:val="left"/>
      <w:pPr>
        <w:tabs>
          <w:tab w:val="num" w:pos="2160"/>
        </w:tabs>
        <w:ind w:left="2160" w:hanging="360"/>
      </w:pPr>
      <w:rPr>
        <w:rFonts w:ascii="Ericsson Hilda" w:hAnsi="Ericsson Hilda" w:hint="default"/>
      </w:rPr>
    </w:lvl>
    <w:lvl w:ilvl="3" w:tplc="8E5E4C80" w:tentative="1">
      <w:start w:val="1"/>
      <w:numFmt w:val="bullet"/>
      <w:lvlText w:val="●"/>
      <w:lvlJc w:val="left"/>
      <w:pPr>
        <w:tabs>
          <w:tab w:val="num" w:pos="2880"/>
        </w:tabs>
        <w:ind w:left="2880" w:hanging="360"/>
      </w:pPr>
      <w:rPr>
        <w:rFonts w:ascii="Ericsson Hilda" w:hAnsi="Ericsson Hilda" w:hint="default"/>
      </w:rPr>
    </w:lvl>
    <w:lvl w:ilvl="4" w:tplc="53AA0396" w:tentative="1">
      <w:start w:val="1"/>
      <w:numFmt w:val="bullet"/>
      <w:lvlText w:val="●"/>
      <w:lvlJc w:val="left"/>
      <w:pPr>
        <w:tabs>
          <w:tab w:val="num" w:pos="3600"/>
        </w:tabs>
        <w:ind w:left="3600" w:hanging="360"/>
      </w:pPr>
      <w:rPr>
        <w:rFonts w:ascii="Ericsson Hilda" w:hAnsi="Ericsson Hilda" w:hint="default"/>
      </w:rPr>
    </w:lvl>
    <w:lvl w:ilvl="5" w:tplc="E07A6CB6" w:tentative="1">
      <w:start w:val="1"/>
      <w:numFmt w:val="bullet"/>
      <w:lvlText w:val="●"/>
      <w:lvlJc w:val="left"/>
      <w:pPr>
        <w:tabs>
          <w:tab w:val="num" w:pos="4320"/>
        </w:tabs>
        <w:ind w:left="4320" w:hanging="360"/>
      </w:pPr>
      <w:rPr>
        <w:rFonts w:ascii="Ericsson Hilda" w:hAnsi="Ericsson Hilda" w:hint="default"/>
      </w:rPr>
    </w:lvl>
    <w:lvl w:ilvl="6" w:tplc="2114657E" w:tentative="1">
      <w:start w:val="1"/>
      <w:numFmt w:val="bullet"/>
      <w:lvlText w:val="●"/>
      <w:lvlJc w:val="left"/>
      <w:pPr>
        <w:tabs>
          <w:tab w:val="num" w:pos="5040"/>
        </w:tabs>
        <w:ind w:left="5040" w:hanging="360"/>
      </w:pPr>
      <w:rPr>
        <w:rFonts w:ascii="Ericsson Hilda" w:hAnsi="Ericsson Hilda" w:hint="default"/>
      </w:rPr>
    </w:lvl>
    <w:lvl w:ilvl="7" w:tplc="FB0233FE" w:tentative="1">
      <w:start w:val="1"/>
      <w:numFmt w:val="bullet"/>
      <w:lvlText w:val="●"/>
      <w:lvlJc w:val="left"/>
      <w:pPr>
        <w:tabs>
          <w:tab w:val="num" w:pos="5760"/>
        </w:tabs>
        <w:ind w:left="5760" w:hanging="360"/>
      </w:pPr>
      <w:rPr>
        <w:rFonts w:ascii="Ericsson Hilda" w:hAnsi="Ericsson Hilda" w:hint="default"/>
      </w:rPr>
    </w:lvl>
    <w:lvl w:ilvl="8" w:tplc="DE76EE58" w:tentative="1">
      <w:start w:val="1"/>
      <w:numFmt w:val="bullet"/>
      <w:lvlText w:val="●"/>
      <w:lvlJc w:val="left"/>
      <w:pPr>
        <w:tabs>
          <w:tab w:val="num" w:pos="6480"/>
        </w:tabs>
        <w:ind w:left="6480" w:hanging="360"/>
      </w:pPr>
      <w:rPr>
        <w:rFonts w:ascii="Ericsson Hilda" w:hAnsi="Ericsson Hilda" w:hint="default"/>
      </w:rPr>
    </w:lvl>
  </w:abstractNum>
  <w:abstractNum w:abstractNumId="14" w15:restartNumberingAfterBreak="0">
    <w:nsid w:val="1E375248"/>
    <w:multiLevelType w:val="hybridMultilevel"/>
    <w:tmpl w:val="ECE48D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25CE1A6E"/>
    <w:multiLevelType w:val="hybridMultilevel"/>
    <w:tmpl w:val="3304931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2DD9076B"/>
    <w:multiLevelType w:val="hybridMultilevel"/>
    <w:tmpl w:val="9DAC7888"/>
    <w:lvl w:ilvl="0" w:tplc="7DC8D3D0">
      <w:start w:val="1"/>
      <w:numFmt w:val="bullet"/>
      <w:lvlText w:val="●"/>
      <w:lvlJc w:val="left"/>
      <w:pPr>
        <w:tabs>
          <w:tab w:val="num" w:pos="720"/>
        </w:tabs>
        <w:ind w:left="720" w:hanging="360"/>
      </w:pPr>
      <w:rPr>
        <w:rFonts w:ascii="Ericsson Hilda" w:hAnsi="Ericsson Hilda" w:hint="default"/>
      </w:rPr>
    </w:lvl>
    <w:lvl w:ilvl="1" w:tplc="8674AA84" w:tentative="1">
      <w:start w:val="1"/>
      <w:numFmt w:val="bullet"/>
      <w:lvlText w:val="●"/>
      <w:lvlJc w:val="left"/>
      <w:pPr>
        <w:tabs>
          <w:tab w:val="num" w:pos="1440"/>
        </w:tabs>
        <w:ind w:left="1440" w:hanging="360"/>
      </w:pPr>
      <w:rPr>
        <w:rFonts w:ascii="Ericsson Hilda" w:hAnsi="Ericsson Hilda" w:hint="default"/>
      </w:rPr>
    </w:lvl>
    <w:lvl w:ilvl="2" w:tplc="0B5AECCA" w:tentative="1">
      <w:start w:val="1"/>
      <w:numFmt w:val="bullet"/>
      <w:lvlText w:val="●"/>
      <w:lvlJc w:val="left"/>
      <w:pPr>
        <w:tabs>
          <w:tab w:val="num" w:pos="2160"/>
        </w:tabs>
        <w:ind w:left="2160" w:hanging="360"/>
      </w:pPr>
      <w:rPr>
        <w:rFonts w:ascii="Ericsson Hilda" w:hAnsi="Ericsson Hilda" w:hint="default"/>
      </w:rPr>
    </w:lvl>
    <w:lvl w:ilvl="3" w:tplc="BF1AE3EA" w:tentative="1">
      <w:start w:val="1"/>
      <w:numFmt w:val="bullet"/>
      <w:lvlText w:val="●"/>
      <w:lvlJc w:val="left"/>
      <w:pPr>
        <w:tabs>
          <w:tab w:val="num" w:pos="2880"/>
        </w:tabs>
        <w:ind w:left="2880" w:hanging="360"/>
      </w:pPr>
      <w:rPr>
        <w:rFonts w:ascii="Ericsson Hilda" w:hAnsi="Ericsson Hilda" w:hint="default"/>
      </w:rPr>
    </w:lvl>
    <w:lvl w:ilvl="4" w:tplc="16B446DC" w:tentative="1">
      <w:start w:val="1"/>
      <w:numFmt w:val="bullet"/>
      <w:lvlText w:val="●"/>
      <w:lvlJc w:val="left"/>
      <w:pPr>
        <w:tabs>
          <w:tab w:val="num" w:pos="3600"/>
        </w:tabs>
        <w:ind w:left="3600" w:hanging="360"/>
      </w:pPr>
      <w:rPr>
        <w:rFonts w:ascii="Ericsson Hilda" w:hAnsi="Ericsson Hilda" w:hint="default"/>
      </w:rPr>
    </w:lvl>
    <w:lvl w:ilvl="5" w:tplc="B93CE762" w:tentative="1">
      <w:start w:val="1"/>
      <w:numFmt w:val="bullet"/>
      <w:lvlText w:val="●"/>
      <w:lvlJc w:val="left"/>
      <w:pPr>
        <w:tabs>
          <w:tab w:val="num" w:pos="4320"/>
        </w:tabs>
        <w:ind w:left="4320" w:hanging="360"/>
      </w:pPr>
      <w:rPr>
        <w:rFonts w:ascii="Ericsson Hilda" w:hAnsi="Ericsson Hilda" w:hint="default"/>
      </w:rPr>
    </w:lvl>
    <w:lvl w:ilvl="6" w:tplc="6226E004" w:tentative="1">
      <w:start w:val="1"/>
      <w:numFmt w:val="bullet"/>
      <w:lvlText w:val="●"/>
      <w:lvlJc w:val="left"/>
      <w:pPr>
        <w:tabs>
          <w:tab w:val="num" w:pos="5040"/>
        </w:tabs>
        <w:ind w:left="5040" w:hanging="360"/>
      </w:pPr>
      <w:rPr>
        <w:rFonts w:ascii="Ericsson Hilda" w:hAnsi="Ericsson Hilda" w:hint="default"/>
      </w:rPr>
    </w:lvl>
    <w:lvl w:ilvl="7" w:tplc="7D7ECF1E" w:tentative="1">
      <w:start w:val="1"/>
      <w:numFmt w:val="bullet"/>
      <w:lvlText w:val="●"/>
      <w:lvlJc w:val="left"/>
      <w:pPr>
        <w:tabs>
          <w:tab w:val="num" w:pos="5760"/>
        </w:tabs>
        <w:ind w:left="5760" w:hanging="360"/>
      </w:pPr>
      <w:rPr>
        <w:rFonts w:ascii="Ericsson Hilda" w:hAnsi="Ericsson Hilda" w:hint="default"/>
      </w:rPr>
    </w:lvl>
    <w:lvl w:ilvl="8" w:tplc="57283100" w:tentative="1">
      <w:start w:val="1"/>
      <w:numFmt w:val="bullet"/>
      <w:lvlText w:val="●"/>
      <w:lvlJc w:val="left"/>
      <w:pPr>
        <w:tabs>
          <w:tab w:val="num" w:pos="6480"/>
        </w:tabs>
        <w:ind w:left="6480" w:hanging="360"/>
      </w:pPr>
      <w:rPr>
        <w:rFonts w:ascii="Ericsson Hilda" w:hAnsi="Ericsson Hilda" w:hint="default"/>
      </w:rPr>
    </w:lvl>
  </w:abstractNum>
  <w:abstractNum w:abstractNumId="2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4839983"/>
    <w:multiLevelType w:val="hybridMultilevel"/>
    <w:tmpl w:val="FFFFFFFF"/>
    <w:lvl w:ilvl="0" w:tplc="7C38E09A">
      <w:start w:val="1"/>
      <w:numFmt w:val="bullet"/>
      <w:lvlText w:val=""/>
      <w:lvlJc w:val="left"/>
      <w:pPr>
        <w:ind w:left="720" w:hanging="360"/>
      </w:pPr>
      <w:rPr>
        <w:rFonts w:ascii="Symbol" w:hAnsi="Symbol" w:hint="default"/>
      </w:rPr>
    </w:lvl>
    <w:lvl w:ilvl="1" w:tplc="1980A854">
      <w:start w:val="1"/>
      <w:numFmt w:val="bullet"/>
      <w:lvlText w:val="o"/>
      <w:lvlJc w:val="left"/>
      <w:pPr>
        <w:ind w:left="1440" w:hanging="360"/>
      </w:pPr>
      <w:rPr>
        <w:rFonts w:ascii="Courier New" w:hAnsi="Courier New" w:hint="default"/>
      </w:rPr>
    </w:lvl>
    <w:lvl w:ilvl="2" w:tplc="2BEC7D50">
      <w:start w:val="1"/>
      <w:numFmt w:val="bullet"/>
      <w:lvlText w:val=""/>
      <w:lvlJc w:val="left"/>
      <w:pPr>
        <w:ind w:left="2160" w:hanging="360"/>
      </w:pPr>
      <w:rPr>
        <w:rFonts w:ascii="Wingdings" w:hAnsi="Wingdings" w:hint="default"/>
      </w:rPr>
    </w:lvl>
    <w:lvl w:ilvl="3" w:tplc="EDD802E2">
      <w:start w:val="1"/>
      <w:numFmt w:val="bullet"/>
      <w:lvlText w:val=""/>
      <w:lvlJc w:val="left"/>
      <w:pPr>
        <w:ind w:left="2880" w:hanging="360"/>
      </w:pPr>
      <w:rPr>
        <w:rFonts w:ascii="Symbol" w:hAnsi="Symbol" w:hint="default"/>
      </w:rPr>
    </w:lvl>
    <w:lvl w:ilvl="4" w:tplc="E4449A8A">
      <w:start w:val="1"/>
      <w:numFmt w:val="bullet"/>
      <w:lvlText w:val="o"/>
      <w:lvlJc w:val="left"/>
      <w:pPr>
        <w:ind w:left="3600" w:hanging="360"/>
      </w:pPr>
      <w:rPr>
        <w:rFonts w:ascii="Courier New" w:hAnsi="Courier New" w:hint="default"/>
      </w:rPr>
    </w:lvl>
    <w:lvl w:ilvl="5" w:tplc="0FA8E138">
      <w:start w:val="1"/>
      <w:numFmt w:val="bullet"/>
      <w:lvlText w:val=""/>
      <w:lvlJc w:val="left"/>
      <w:pPr>
        <w:ind w:left="4320" w:hanging="360"/>
      </w:pPr>
      <w:rPr>
        <w:rFonts w:ascii="Wingdings" w:hAnsi="Wingdings" w:hint="default"/>
      </w:rPr>
    </w:lvl>
    <w:lvl w:ilvl="6" w:tplc="BB02B006">
      <w:start w:val="1"/>
      <w:numFmt w:val="bullet"/>
      <w:lvlText w:val=""/>
      <w:lvlJc w:val="left"/>
      <w:pPr>
        <w:ind w:left="5040" w:hanging="360"/>
      </w:pPr>
      <w:rPr>
        <w:rFonts w:ascii="Symbol" w:hAnsi="Symbol" w:hint="default"/>
      </w:rPr>
    </w:lvl>
    <w:lvl w:ilvl="7" w:tplc="4FC47DB2">
      <w:start w:val="1"/>
      <w:numFmt w:val="bullet"/>
      <w:lvlText w:val="o"/>
      <w:lvlJc w:val="left"/>
      <w:pPr>
        <w:ind w:left="5760" w:hanging="360"/>
      </w:pPr>
      <w:rPr>
        <w:rFonts w:ascii="Courier New" w:hAnsi="Courier New" w:hint="default"/>
      </w:rPr>
    </w:lvl>
    <w:lvl w:ilvl="8" w:tplc="A328C74C">
      <w:start w:val="1"/>
      <w:numFmt w:val="bullet"/>
      <w:lvlText w:val=""/>
      <w:lvlJc w:val="left"/>
      <w:pPr>
        <w:ind w:left="6480" w:hanging="360"/>
      </w:pPr>
      <w:rPr>
        <w:rFonts w:ascii="Wingdings" w:hAnsi="Wingdings" w:hint="default"/>
      </w:rPr>
    </w:lvl>
  </w:abstractNum>
  <w:abstractNum w:abstractNumId="24" w15:restartNumberingAfterBreak="0">
    <w:nsid w:val="37585CE4"/>
    <w:multiLevelType w:val="hybridMultilevel"/>
    <w:tmpl w:val="E44E255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40FE149B"/>
    <w:multiLevelType w:val="hybridMultilevel"/>
    <w:tmpl w:val="6AD032DE"/>
    <w:lvl w:ilvl="0" w:tplc="E2DCD408">
      <w:start w:val="1"/>
      <w:numFmt w:val="bullet"/>
      <w:lvlText w:val="●"/>
      <w:lvlJc w:val="left"/>
      <w:pPr>
        <w:tabs>
          <w:tab w:val="num" w:pos="720"/>
        </w:tabs>
        <w:ind w:left="720" w:hanging="360"/>
      </w:pPr>
      <w:rPr>
        <w:rFonts w:ascii="Ericsson Hilda" w:hAnsi="Ericsson Hilda" w:hint="default"/>
      </w:rPr>
    </w:lvl>
    <w:lvl w:ilvl="1" w:tplc="C72EDA9C">
      <w:numFmt w:val="bullet"/>
      <w:lvlText w:val="●"/>
      <w:lvlJc w:val="left"/>
      <w:pPr>
        <w:tabs>
          <w:tab w:val="num" w:pos="1440"/>
        </w:tabs>
        <w:ind w:left="1440" w:hanging="360"/>
      </w:pPr>
      <w:rPr>
        <w:rFonts w:ascii="Ericsson Hilda" w:hAnsi="Ericsson Hilda" w:hint="default"/>
      </w:rPr>
    </w:lvl>
    <w:lvl w:ilvl="2" w:tplc="3F7CF60E" w:tentative="1">
      <w:start w:val="1"/>
      <w:numFmt w:val="bullet"/>
      <w:lvlText w:val="●"/>
      <w:lvlJc w:val="left"/>
      <w:pPr>
        <w:tabs>
          <w:tab w:val="num" w:pos="2160"/>
        </w:tabs>
        <w:ind w:left="2160" w:hanging="360"/>
      </w:pPr>
      <w:rPr>
        <w:rFonts w:ascii="Ericsson Hilda" w:hAnsi="Ericsson Hilda" w:hint="default"/>
      </w:rPr>
    </w:lvl>
    <w:lvl w:ilvl="3" w:tplc="0CD48904" w:tentative="1">
      <w:start w:val="1"/>
      <w:numFmt w:val="bullet"/>
      <w:lvlText w:val="●"/>
      <w:lvlJc w:val="left"/>
      <w:pPr>
        <w:tabs>
          <w:tab w:val="num" w:pos="2880"/>
        </w:tabs>
        <w:ind w:left="2880" w:hanging="360"/>
      </w:pPr>
      <w:rPr>
        <w:rFonts w:ascii="Ericsson Hilda" w:hAnsi="Ericsson Hilda" w:hint="default"/>
      </w:rPr>
    </w:lvl>
    <w:lvl w:ilvl="4" w:tplc="CC9AD2F8" w:tentative="1">
      <w:start w:val="1"/>
      <w:numFmt w:val="bullet"/>
      <w:lvlText w:val="●"/>
      <w:lvlJc w:val="left"/>
      <w:pPr>
        <w:tabs>
          <w:tab w:val="num" w:pos="3600"/>
        </w:tabs>
        <w:ind w:left="3600" w:hanging="360"/>
      </w:pPr>
      <w:rPr>
        <w:rFonts w:ascii="Ericsson Hilda" w:hAnsi="Ericsson Hilda" w:hint="default"/>
      </w:rPr>
    </w:lvl>
    <w:lvl w:ilvl="5" w:tplc="1D0CD486" w:tentative="1">
      <w:start w:val="1"/>
      <w:numFmt w:val="bullet"/>
      <w:lvlText w:val="●"/>
      <w:lvlJc w:val="left"/>
      <w:pPr>
        <w:tabs>
          <w:tab w:val="num" w:pos="4320"/>
        </w:tabs>
        <w:ind w:left="4320" w:hanging="360"/>
      </w:pPr>
      <w:rPr>
        <w:rFonts w:ascii="Ericsson Hilda" w:hAnsi="Ericsson Hilda" w:hint="default"/>
      </w:rPr>
    </w:lvl>
    <w:lvl w:ilvl="6" w:tplc="C0DC3DAE" w:tentative="1">
      <w:start w:val="1"/>
      <w:numFmt w:val="bullet"/>
      <w:lvlText w:val="●"/>
      <w:lvlJc w:val="left"/>
      <w:pPr>
        <w:tabs>
          <w:tab w:val="num" w:pos="5040"/>
        </w:tabs>
        <w:ind w:left="5040" w:hanging="360"/>
      </w:pPr>
      <w:rPr>
        <w:rFonts w:ascii="Ericsson Hilda" w:hAnsi="Ericsson Hilda" w:hint="default"/>
      </w:rPr>
    </w:lvl>
    <w:lvl w:ilvl="7" w:tplc="BC22E3A2" w:tentative="1">
      <w:start w:val="1"/>
      <w:numFmt w:val="bullet"/>
      <w:lvlText w:val="●"/>
      <w:lvlJc w:val="left"/>
      <w:pPr>
        <w:tabs>
          <w:tab w:val="num" w:pos="5760"/>
        </w:tabs>
        <w:ind w:left="5760" w:hanging="360"/>
      </w:pPr>
      <w:rPr>
        <w:rFonts w:ascii="Ericsson Hilda" w:hAnsi="Ericsson Hilda" w:hint="default"/>
      </w:rPr>
    </w:lvl>
    <w:lvl w:ilvl="8" w:tplc="39E8E08E" w:tentative="1">
      <w:start w:val="1"/>
      <w:numFmt w:val="bullet"/>
      <w:lvlText w:val="●"/>
      <w:lvlJc w:val="left"/>
      <w:pPr>
        <w:tabs>
          <w:tab w:val="num" w:pos="6480"/>
        </w:tabs>
        <w:ind w:left="6480" w:hanging="360"/>
      </w:pPr>
      <w:rPr>
        <w:rFonts w:ascii="Ericsson Hilda" w:hAnsi="Ericsson Hilda" w:hint="default"/>
      </w:rPr>
    </w:lvl>
  </w:abstractNum>
  <w:abstractNum w:abstractNumId="2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9DA6C58"/>
    <w:multiLevelType w:val="hybridMultilevel"/>
    <w:tmpl w:val="8F1CC2E8"/>
    <w:lvl w:ilvl="0" w:tplc="F9BEAD0E">
      <w:start w:val="1"/>
      <w:numFmt w:val="bullet"/>
      <w:lvlText w:val="●"/>
      <w:lvlJc w:val="left"/>
      <w:pPr>
        <w:tabs>
          <w:tab w:val="num" w:pos="720"/>
        </w:tabs>
        <w:ind w:left="720" w:hanging="360"/>
      </w:pPr>
      <w:rPr>
        <w:rFonts w:ascii="Ericsson Hilda" w:hAnsi="Ericsson Hilda" w:hint="default"/>
      </w:rPr>
    </w:lvl>
    <w:lvl w:ilvl="1" w:tplc="6E924770">
      <w:numFmt w:val="bullet"/>
      <w:lvlText w:val="–"/>
      <w:lvlJc w:val="left"/>
      <w:pPr>
        <w:tabs>
          <w:tab w:val="num" w:pos="1440"/>
        </w:tabs>
        <w:ind w:left="1440" w:hanging="360"/>
      </w:pPr>
      <w:rPr>
        <w:rFonts w:ascii="Ericsson Hilda" w:hAnsi="Ericsson Hilda" w:hint="default"/>
      </w:rPr>
    </w:lvl>
    <w:lvl w:ilvl="2" w:tplc="F4B69E6E" w:tentative="1">
      <w:start w:val="1"/>
      <w:numFmt w:val="bullet"/>
      <w:lvlText w:val="●"/>
      <w:lvlJc w:val="left"/>
      <w:pPr>
        <w:tabs>
          <w:tab w:val="num" w:pos="2160"/>
        </w:tabs>
        <w:ind w:left="2160" w:hanging="360"/>
      </w:pPr>
      <w:rPr>
        <w:rFonts w:ascii="Ericsson Hilda" w:hAnsi="Ericsson Hilda" w:hint="default"/>
      </w:rPr>
    </w:lvl>
    <w:lvl w:ilvl="3" w:tplc="4A5653CE" w:tentative="1">
      <w:start w:val="1"/>
      <w:numFmt w:val="bullet"/>
      <w:lvlText w:val="●"/>
      <w:lvlJc w:val="left"/>
      <w:pPr>
        <w:tabs>
          <w:tab w:val="num" w:pos="2880"/>
        </w:tabs>
        <w:ind w:left="2880" w:hanging="360"/>
      </w:pPr>
      <w:rPr>
        <w:rFonts w:ascii="Ericsson Hilda" w:hAnsi="Ericsson Hilda" w:hint="default"/>
      </w:rPr>
    </w:lvl>
    <w:lvl w:ilvl="4" w:tplc="7C9ABCB4" w:tentative="1">
      <w:start w:val="1"/>
      <w:numFmt w:val="bullet"/>
      <w:lvlText w:val="●"/>
      <w:lvlJc w:val="left"/>
      <w:pPr>
        <w:tabs>
          <w:tab w:val="num" w:pos="3600"/>
        </w:tabs>
        <w:ind w:left="3600" w:hanging="360"/>
      </w:pPr>
      <w:rPr>
        <w:rFonts w:ascii="Ericsson Hilda" w:hAnsi="Ericsson Hilda" w:hint="default"/>
      </w:rPr>
    </w:lvl>
    <w:lvl w:ilvl="5" w:tplc="C77465B2" w:tentative="1">
      <w:start w:val="1"/>
      <w:numFmt w:val="bullet"/>
      <w:lvlText w:val="●"/>
      <w:lvlJc w:val="left"/>
      <w:pPr>
        <w:tabs>
          <w:tab w:val="num" w:pos="4320"/>
        </w:tabs>
        <w:ind w:left="4320" w:hanging="360"/>
      </w:pPr>
      <w:rPr>
        <w:rFonts w:ascii="Ericsson Hilda" w:hAnsi="Ericsson Hilda" w:hint="default"/>
      </w:rPr>
    </w:lvl>
    <w:lvl w:ilvl="6" w:tplc="F976E28A" w:tentative="1">
      <w:start w:val="1"/>
      <w:numFmt w:val="bullet"/>
      <w:lvlText w:val="●"/>
      <w:lvlJc w:val="left"/>
      <w:pPr>
        <w:tabs>
          <w:tab w:val="num" w:pos="5040"/>
        </w:tabs>
        <w:ind w:left="5040" w:hanging="360"/>
      </w:pPr>
      <w:rPr>
        <w:rFonts w:ascii="Ericsson Hilda" w:hAnsi="Ericsson Hilda" w:hint="default"/>
      </w:rPr>
    </w:lvl>
    <w:lvl w:ilvl="7" w:tplc="720A59EE" w:tentative="1">
      <w:start w:val="1"/>
      <w:numFmt w:val="bullet"/>
      <w:lvlText w:val="●"/>
      <w:lvlJc w:val="left"/>
      <w:pPr>
        <w:tabs>
          <w:tab w:val="num" w:pos="5760"/>
        </w:tabs>
        <w:ind w:left="5760" w:hanging="360"/>
      </w:pPr>
      <w:rPr>
        <w:rFonts w:ascii="Ericsson Hilda" w:hAnsi="Ericsson Hilda" w:hint="default"/>
      </w:rPr>
    </w:lvl>
    <w:lvl w:ilvl="8" w:tplc="78B893CE" w:tentative="1">
      <w:start w:val="1"/>
      <w:numFmt w:val="bullet"/>
      <w:lvlText w:val="●"/>
      <w:lvlJc w:val="left"/>
      <w:pPr>
        <w:tabs>
          <w:tab w:val="num" w:pos="6480"/>
        </w:tabs>
        <w:ind w:left="6480" w:hanging="360"/>
      </w:pPr>
      <w:rPr>
        <w:rFonts w:ascii="Ericsson Hilda" w:hAnsi="Ericsson Hilda"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DEE5724"/>
    <w:multiLevelType w:val="hybridMultilevel"/>
    <w:tmpl w:val="711A4FF2"/>
    <w:lvl w:ilvl="0" w:tplc="8F32D420">
      <w:start w:val="1"/>
      <w:numFmt w:val="bullet"/>
      <w:lvlText w:val="●"/>
      <w:lvlJc w:val="left"/>
      <w:pPr>
        <w:tabs>
          <w:tab w:val="num" w:pos="720"/>
        </w:tabs>
        <w:ind w:left="720" w:hanging="360"/>
      </w:pPr>
      <w:rPr>
        <w:rFonts w:ascii="Ericsson Hilda" w:hAnsi="Ericsson Hilda" w:hint="default"/>
      </w:rPr>
    </w:lvl>
    <w:lvl w:ilvl="1" w:tplc="7A5E0D66">
      <w:numFmt w:val="bullet"/>
      <w:lvlText w:val="●"/>
      <w:lvlJc w:val="left"/>
      <w:pPr>
        <w:tabs>
          <w:tab w:val="num" w:pos="1440"/>
        </w:tabs>
        <w:ind w:left="1440" w:hanging="360"/>
      </w:pPr>
      <w:rPr>
        <w:rFonts w:ascii="Ericsson Hilda" w:hAnsi="Ericsson Hilda" w:hint="default"/>
      </w:rPr>
    </w:lvl>
    <w:lvl w:ilvl="2" w:tplc="4B86A214">
      <w:numFmt w:val="bullet"/>
      <w:lvlText w:val="●"/>
      <w:lvlJc w:val="left"/>
      <w:pPr>
        <w:tabs>
          <w:tab w:val="num" w:pos="2160"/>
        </w:tabs>
        <w:ind w:left="2160" w:hanging="360"/>
      </w:pPr>
      <w:rPr>
        <w:rFonts w:ascii="Ericsson Hilda" w:hAnsi="Ericsson Hilda" w:hint="default"/>
      </w:rPr>
    </w:lvl>
    <w:lvl w:ilvl="3" w:tplc="74EC0CD4" w:tentative="1">
      <w:start w:val="1"/>
      <w:numFmt w:val="bullet"/>
      <w:lvlText w:val="●"/>
      <w:lvlJc w:val="left"/>
      <w:pPr>
        <w:tabs>
          <w:tab w:val="num" w:pos="2880"/>
        </w:tabs>
        <w:ind w:left="2880" w:hanging="360"/>
      </w:pPr>
      <w:rPr>
        <w:rFonts w:ascii="Ericsson Hilda" w:hAnsi="Ericsson Hilda" w:hint="default"/>
      </w:rPr>
    </w:lvl>
    <w:lvl w:ilvl="4" w:tplc="695C48EA" w:tentative="1">
      <w:start w:val="1"/>
      <w:numFmt w:val="bullet"/>
      <w:lvlText w:val="●"/>
      <w:lvlJc w:val="left"/>
      <w:pPr>
        <w:tabs>
          <w:tab w:val="num" w:pos="3600"/>
        </w:tabs>
        <w:ind w:left="3600" w:hanging="360"/>
      </w:pPr>
      <w:rPr>
        <w:rFonts w:ascii="Ericsson Hilda" w:hAnsi="Ericsson Hilda" w:hint="default"/>
      </w:rPr>
    </w:lvl>
    <w:lvl w:ilvl="5" w:tplc="C31EE520" w:tentative="1">
      <w:start w:val="1"/>
      <w:numFmt w:val="bullet"/>
      <w:lvlText w:val="●"/>
      <w:lvlJc w:val="left"/>
      <w:pPr>
        <w:tabs>
          <w:tab w:val="num" w:pos="4320"/>
        </w:tabs>
        <w:ind w:left="4320" w:hanging="360"/>
      </w:pPr>
      <w:rPr>
        <w:rFonts w:ascii="Ericsson Hilda" w:hAnsi="Ericsson Hilda" w:hint="default"/>
      </w:rPr>
    </w:lvl>
    <w:lvl w:ilvl="6" w:tplc="911A2564" w:tentative="1">
      <w:start w:val="1"/>
      <w:numFmt w:val="bullet"/>
      <w:lvlText w:val="●"/>
      <w:lvlJc w:val="left"/>
      <w:pPr>
        <w:tabs>
          <w:tab w:val="num" w:pos="5040"/>
        </w:tabs>
        <w:ind w:left="5040" w:hanging="360"/>
      </w:pPr>
      <w:rPr>
        <w:rFonts w:ascii="Ericsson Hilda" w:hAnsi="Ericsson Hilda" w:hint="default"/>
      </w:rPr>
    </w:lvl>
    <w:lvl w:ilvl="7" w:tplc="C9DEF456" w:tentative="1">
      <w:start w:val="1"/>
      <w:numFmt w:val="bullet"/>
      <w:lvlText w:val="●"/>
      <w:lvlJc w:val="left"/>
      <w:pPr>
        <w:tabs>
          <w:tab w:val="num" w:pos="5760"/>
        </w:tabs>
        <w:ind w:left="5760" w:hanging="360"/>
      </w:pPr>
      <w:rPr>
        <w:rFonts w:ascii="Ericsson Hilda" w:hAnsi="Ericsson Hilda" w:hint="default"/>
      </w:rPr>
    </w:lvl>
    <w:lvl w:ilvl="8" w:tplc="1ACC7266" w:tentative="1">
      <w:start w:val="1"/>
      <w:numFmt w:val="bullet"/>
      <w:lvlText w:val="●"/>
      <w:lvlJc w:val="left"/>
      <w:pPr>
        <w:tabs>
          <w:tab w:val="num" w:pos="6480"/>
        </w:tabs>
        <w:ind w:left="6480" w:hanging="360"/>
      </w:pPr>
      <w:rPr>
        <w:rFonts w:ascii="Ericsson Hilda" w:hAnsi="Ericsson Hilda" w:hint="default"/>
      </w:r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3DF4B2A"/>
    <w:multiLevelType w:val="multilevel"/>
    <w:tmpl w:val="8D00C374"/>
    <w:lvl w:ilvl="0">
      <w:start w:val="2"/>
      <w:numFmt w:val="decimal"/>
      <w:lvlText w:val="%1"/>
      <w:lvlJc w:val="left"/>
      <w:pPr>
        <w:ind w:left="640" w:hanging="640"/>
      </w:pPr>
      <w:rPr>
        <w:rFonts w:hint="default"/>
      </w:rPr>
    </w:lvl>
    <w:lvl w:ilvl="1">
      <w:start w:val="1"/>
      <w:numFmt w:val="decimal"/>
      <w:lvlText w:val="%1.%2"/>
      <w:lvlJc w:val="left"/>
      <w:pPr>
        <w:ind w:left="640" w:hanging="6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54C96DC9"/>
    <w:multiLevelType w:val="hybridMultilevel"/>
    <w:tmpl w:val="34642D6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AE8A52EC">
      <w:start w:val="6"/>
      <w:numFmt w:val="bullet"/>
      <w:lvlText w:val="-"/>
      <w:lvlJc w:val="left"/>
      <w:pPr>
        <w:ind w:left="2880" w:hanging="360"/>
      </w:pPr>
      <w:rPr>
        <w:rFonts w:ascii="Calibri" w:eastAsia="Calibri" w:hAnsi="Calibri" w:cs="Times New Roman"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9817E2A"/>
    <w:multiLevelType w:val="hybridMultilevel"/>
    <w:tmpl w:val="D3DAE0C4"/>
    <w:lvl w:ilvl="0" w:tplc="3A34576A">
      <w:start w:val="1"/>
      <w:numFmt w:val="bullet"/>
      <w:lvlText w:val="●"/>
      <w:lvlJc w:val="left"/>
      <w:pPr>
        <w:tabs>
          <w:tab w:val="num" w:pos="720"/>
        </w:tabs>
        <w:ind w:left="720" w:hanging="360"/>
      </w:pPr>
      <w:rPr>
        <w:rFonts w:ascii="Ericsson Hilda" w:hAnsi="Ericsson Hilda" w:hint="default"/>
      </w:rPr>
    </w:lvl>
    <w:lvl w:ilvl="1" w:tplc="0B900BF2">
      <w:numFmt w:val="bullet"/>
      <w:lvlText w:val="–"/>
      <w:lvlJc w:val="left"/>
      <w:pPr>
        <w:tabs>
          <w:tab w:val="num" w:pos="1440"/>
        </w:tabs>
        <w:ind w:left="1440" w:hanging="360"/>
      </w:pPr>
      <w:rPr>
        <w:rFonts w:ascii="Ericsson Hilda" w:hAnsi="Ericsson Hilda" w:hint="default"/>
      </w:rPr>
    </w:lvl>
    <w:lvl w:ilvl="2" w:tplc="C4A4774E" w:tentative="1">
      <w:start w:val="1"/>
      <w:numFmt w:val="bullet"/>
      <w:lvlText w:val="●"/>
      <w:lvlJc w:val="left"/>
      <w:pPr>
        <w:tabs>
          <w:tab w:val="num" w:pos="2160"/>
        </w:tabs>
        <w:ind w:left="2160" w:hanging="360"/>
      </w:pPr>
      <w:rPr>
        <w:rFonts w:ascii="Ericsson Hilda" w:hAnsi="Ericsson Hilda" w:hint="default"/>
      </w:rPr>
    </w:lvl>
    <w:lvl w:ilvl="3" w:tplc="7722F414" w:tentative="1">
      <w:start w:val="1"/>
      <w:numFmt w:val="bullet"/>
      <w:lvlText w:val="●"/>
      <w:lvlJc w:val="left"/>
      <w:pPr>
        <w:tabs>
          <w:tab w:val="num" w:pos="2880"/>
        </w:tabs>
        <w:ind w:left="2880" w:hanging="360"/>
      </w:pPr>
      <w:rPr>
        <w:rFonts w:ascii="Ericsson Hilda" w:hAnsi="Ericsson Hilda" w:hint="default"/>
      </w:rPr>
    </w:lvl>
    <w:lvl w:ilvl="4" w:tplc="448290F2" w:tentative="1">
      <w:start w:val="1"/>
      <w:numFmt w:val="bullet"/>
      <w:lvlText w:val="●"/>
      <w:lvlJc w:val="left"/>
      <w:pPr>
        <w:tabs>
          <w:tab w:val="num" w:pos="3600"/>
        </w:tabs>
        <w:ind w:left="3600" w:hanging="360"/>
      </w:pPr>
      <w:rPr>
        <w:rFonts w:ascii="Ericsson Hilda" w:hAnsi="Ericsson Hilda" w:hint="default"/>
      </w:rPr>
    </w:lvl>
    <w:lvl w:ilvl="5" w:tplc="003EB356" w:tentative="1">
      <w:start w:val="1"/>
      <w:numFmt w:val="bullet"/>
      <w:lvlText w:val="●"/>
      <w:lvlJc w:val="left"/>
      <w:pPr>
        <w:tabs>
          <w:tab w:val="num" w:pos="4320"/>
        </w:tabs>
        <w:ind w:left="4320" w:hanging="360"/>
      </w:pPr>
      <w:rPr>
        <w:rFonts w:ascii="Ericsson Hilda" w:hAnsi="Ericsson Hilda" w:hint="default"/>
      </w:rPr>
    </w:lvl>
    <w:lvl w:ilvl="6" w:tplc="909E78AA" w:tentative="1">
      <w:start w:val="1"/>
      <w:numFmt w:val="bullet"/>
      <w:lvlText w:val="●"/>
      <w:lvlJc w:val="left"/>
      <w:pPr>
        <w:tabs>
          <w:tab w:val="num" w:pos="5040"/>
        </w:tabs>
        <w:ind w:left="5040" w:hanging="360"/>
      </w:pPr>
      <w:rPr>
        <w:rFonts w:ascii="Ericsson Hilda" w:hAnsi="Ericsson Hilda" w:hint="default"/>
      </w:rPr>
    </w:lvl>
    <w:lvl w:ilvl="7" w:tplc="7E481EA2" w:tentative="1">
      <w:start w:val="1"/>
      <w:numFmt w:val="bullet"/>
      <w:lvlText w:val="●"/>
      <w:lvlJc w:val="left"/>
      <w:pPr>
        <w:tabs>
          <w:tab w:val="num" w:pos="5760"/>
        </w:tabs>
        <w:ind w:left="5760" w:hanging="360"/>
      </w:pPr>
      <w:rPr>
        <w:rFonts w:ascii="Ericsson Hilda" w:hAnsi="Ericsson Hilda" w:hint="default"/>
      </w:rPr>
    </w:lvl>
    <w:lvl w:ilvl="8" w:tplc="AD16B9EC" w:tentative="1">
      <w:start w:val="1"/>
      <w:numFmt w:val="bullet"/>
      <w:lvlText w:val="●"/>
      <w:lvlJc w:val="left"/>
      <w:pPr>
        <w:tabs>
          <w:tab w:val="num" w:pos="6480"/>
        </w:tabs>
        <w:ind w:left="6480" w:hanging="360"/>
      </w:pPr>
      <w:rPr>
        <w:rFonts w:ascii="Ericsson Hilda" w:hAnsi="Ericsson Hilda" w:hint="default"/>
      </w:rPr>
    </w:lvl>
  </w:abstractNum>
  <w:abstractNum w:abstractNumId="39" w15:restartNumberingAfterBreak="0">
    <w:nsid w:val="5B6F764C"/>
    <w:multiLevelType w:val="hybridMultilevel"/>
    <w:tmpl w:val="048A94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1" w15:restartNumberingAfterBreak="0">
    <w:nsid w:val="66DC5767"/>
    <w:multiLevelType w:val="hybridMultilevel"/>
    <w:tmpl w:val="A5DEBC30"/>
    <w:lvl w:ilvl="0" w:tplc="058AC24E">
      <w:start w:val="1"/>
      <w:numFmt w:val="bullet"/>
      <w:lvlText w:val="●"/>
      <w:lvlJc w:val="left"/>
      <w:pPr>
        <w:tabs>
          <w:tab w:val="num" w:pos="720"/>
        </w:tabs>
        <w:ind w:left="720" w:hanging="360"/>
      </w:pPr>
      <w:rPr>
        <w:rFonts w:ascii="Ericsson Hilda" w:hAnsi="Ericsson Hilda" w:hint="default"/>
      </w:rPr>
    </w:lvl>
    <w:lvl w:ilvl="1" w:tplc="B86C8D60">
      <w:start w:val="1"/>
      <w:numFmt w:val="bullet"/>
      <w:lvlText w:val="●"/>
      <w:lvlJc w:val="left"/>
      <w:pPr>
        <w:tabs>
          <w:tab w:val="num" w:pos="1440"/>
        </w:tabs>
        <w:ind w:left="1440" w:hanging="360"/>
      </w:pPr>
      <w:rPr>
        <w:rFonts w:ascii="Ericsson Hilda" w:hAnsi="Ericsson Hilda" w:hint="default"/>
      </w:rPr>
    </w:lvl>
    <w:lvl w:ilvl="2" w:tplc="3AEA96E0" w:tentative="1">
      <w:start w:val="1"/>
      <w:numFmt w:val="bullet"/>
      <w:lvlText w:val="●"/>
      <w:lvlJc w:val="left"/>
      <w:pPr>
        <w:tabs>
          <w:tab w:val="num" w:pos="2160"/>
        </w:tabs>
        <w:ind w:left="2160" w:hanging="360"/>
      </w:pPr>
      <w:rPr>
        <w:rFonts w:ascii="Ericsson Hilda" w:hAnsi="Ericsson Hilda" w:hint="default"/>
      </w:rPr>
    </w:lvl>
    <w:lvl w:ilvl="3" w:tplc="9E06D10E" w:tentative="1">
      <w:start w:val="1"/>
      <w:numFmt w:val="bullet"/>
      <w:lvlText w:val="●"/>
      <w:lvlJc w:val="left"/>
      <w:pPr>
        <w:tabs>
          <w:tab w:val="num" w:pos="2880"/>
        </w:tabs>
        <w:ind w:left="2880" w:hanging="360"/>
      </w:pPr>
      <w:rPr>
        <w:rFonts w:ascii="Ericsson Hilda" w:hAnsi="Ericsson Hilda" w:hint="default"/>
      </w:rPr>
    </w:lvl>
    <w:lvl w:ilvl="4" w:tplc="BB84596E" w:tentative="1">
      <w:start w:val="1"/>
      <w:numFmt w:val="bullet"/>
      <w:lvlText w:val="●"/>
      <w:lvlJc w:val="left"/>
      <w:pPr>
        <w:tabs>
          <w:tab w:val="num" w:pos="3600"/>
        </w:tabs>
        <w:ind w:left="3600" w:hanging="360"/>
      </w:pPr>
      <w:rPr>
        <w:rFonts w:ascii="Ericsson Hilda" w:hAnsi="Ericsson Hilda" w:hint="default"/>
      </w:rPr>
    </w:lvl>
    <w:lvl w:ilvl="5" w:tplc="4C5A825A" w:tentative="1">
      <w:start w:val="1"/>
      <w:numFmt w:val="bullet"/>
      <w:lvlText w:val="●"/>
      <w:lvlJc w:val="left"/>
      <w:pPr>
        <w:tabs>
          <w:tab w:val="num" w:pos="4320"/>
        </w:tabs>
        <w:ind w:left="4320" w:hanging="360"/>
      </w:pPr>
      <w:rPr>
        <w:rFonts w:ascii="Ericsson Hilda" w:hAnsi="Ericsson Hilda" w:hint="default"/>
      </w:rPr>
    </w:lvl>
    <w:lvl w:ilvl="6" w:tplc="54688E54" w:tentative="1">
      <w:start w:val="1"/>
      <w:numFmt w:val="bullet"/>
      <w:lvlText w:val="●"/>
      <w:lvlJc w:val="left"/>
      <w:pPr>
        <w:tabs>
          <w:tab w:val="num" w:pos="5040"/>
        </w:tabs>
        <w:ind w:left="5040" w:hanging="360"/>
      </w:pPr>
      <w:rPr>
        <w:rFonts w:ascii="Ericsson Hilda" w:hAnsi="Ericsson Hilda" w:hint="default"/>
      </w:rPr>
    </w:lvl>
    <w:lvl w:ilvl="7" w:tplc="8D707C5E" w:tentative="1">
      <w:start w:val="1"/>
      <w:numFmt w:val="bullet"/>
      <w:lvlText w:val="●"/>
      <w:lvlJc w:val="left"/>
      <w:pPr>
        <w:tabs>
          <w:tab w:val="num" w:pos="5760"/>
        </w:tabs>
        <w:ind w:left="5760" w:hanging="360"/>
      </w:pPr>
      <w:rPr>
        <w:rFonts w:ascii="Ericsson Hilda" w:hAnsi="Ericsson Hilda" w:hint="default"/>
      </w:rPr>
    </w:lvl>
    <w:lvl w:ilvl="8" w:tplc="AFB06158" w:tentative="1">
      <w:start w:val="1"/>
      <w:numFmt w:val="bullet"/>
      <w:lvlText w:val="●"/>
      <w:lvlJc w:val="left"/>
      <w:pPr>
        <w:tabs>
          <w:tab w:val="num" w:pos="6480"/>
        </w:tabs>
        <w:ind w:left="6480" w:hanging="360"/>
      </w:pPr>
      <w:rPr>
        <w:rFonts w:ascii="Ericsson Hilda" w:hAnsi="Ericsson Hilda" w:hint="default"/>
      </w:rPr>
    </w:lvl>
  </w:abstractNum>
  <w:abstractNum w:abstractNumId="42" w15:restartNumberingAfterBreak="0">
    <w:nsid w:val="6B322F10"/>
    <w:multiLevelType w:val="hybridMultilevel"/>
    <w:tmpl w:val="919EE592"/>
    <w:lvl w:ilvl="0" w:tplc="E2F8CE5E">
      <w:start w:val="2"/>
      <w:numFmt w:val="bullet"/>
      <w:lvlText w:val="-"/>
      <w:lvlJc w:val="left"/>
      <w:pPr>
        <w:ind w:left="720" w:hanging="360"/>
      </w:pPr>
      <w:rPr>
        <w:rFonts w:ascii="Arial" w:eastAsiaTheme="minorHAnsi"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3" w15:restartNumberingAfterBreak="0">
    <w:nsid w:val="6E0D43BD"/>
    <w:multiLevelType w:val="hybridMultilevel"/>
    <w:tmpl w:val="FA0E8D0C"/>
    <w:lvl w:ilvl="0" w:tplc="AF725480">
      <w:start w:val="1"/>
      <w:numFmt w:val="bullet"/>
      <w:lvlText w:val="●"/>
      <w:lvlJc w:val="left"/>
      <w:pPr>
        <w:tabs>
          <w:tab w:val="num" w:pos="720"/>
        </w:tabs>
        <w:ind w:left="720" w:hanging="360"/>
      </w:pPr>
      <w:rPr>
        <w:rFonts w:ascii="Ericsson Hilda" w:hAnsi="Ericsson Hilda" w:hint="default"/>
      </w:rPr>
    </w:lvl>
    <w:lvl w:ilvl="1" w:tplc="021896DE">
      <w:numFmt w:val="bullet"/>
      <w:lvlText w:val="●"/>
      <w:lvlJc w:val="left"/>
      <w:pPr>
        <w:tabs>
          <w:tab w:val="num" w:pos="1440"/>
        </w:tabs>
        <w:ind w:left="1440" w:hanging="360"/>
      </w:pPr>
      <w:rPr>
        <w:rFonts w:ascii="Ericsson Hilda" w:hAnsi="Ericsson Hilda" w:hint="default"/>
      </w:rPr>
    </w:lvl>
    <w:lvl w:ilvl="2" w:tplc="28A00A68" w:tentative="1">
      <w:start w:val="1"/>
      <w:numFmt w:val="bullet"/>
      <w:lvlText w:val="●"/>
      <w:lvlJc w:val="left"/>
      <w:pPr>
        <w:tabs>
          <w:tab w:val="num" w:pos="2160"/>
        </w:tabs>
        <w:ind w:left="2160" w:hanging="360"/>
      </w:pPr>
      <w:rPr>
        <w:rFonts w:ascii="Ericsson Hilda" w:hAnsi="Ericsson Hilda" w:hint="default"/>
      </w:rPr>
    </w:lvl>
    <w:lvl w:ilvl="3" w:tplc="B3AAF418" w:tentative="1">
      <w:start w:val="1"/>
      <w:numFmt w:val="bullet"/>
      <w:lvlText w:val="●"/>
      <w:lvlJc w:val="left"/>
      <w:pPr>
        <w:tabs>
          <w:tab w:val="num" w:pos="2880"/>
        </w:tabs>
        <w:ind w:left="2880" w:hanging="360"/>
      </w:pPr>
      <w:rPr>
        <w:rFonts w:ascii="Ericsson Hilda" w:hAnsi="Ericsson Hilda" w:hint="default"/>
      </w:rPr>
    </w:lvl>
    <w:lvl w:ilvl="4" w:tplc="FA9CD888" w:tentative="1">
      <w:start w:val="1"/>
      <w:numFmt w:val="bullet"/>
      <w:lvlText w:val="●"/>
      <w:lvlJc w:val="left"/>
      <w:pPr>
        <w:tabs>
          <w:tab w:val="num" w:pos="3600"/>
        </w:tabs>
        <w:ind w:left="3600" w:hanging="360"/>
      </w:pPr>
      <w:rPr>
        <w:rFonts w:ascii="Ericsson Hilda" w:hAnsi="Ericsson Hilda" w:hint="default"/>
      </w:rPr>
    </w:lvl>
    <w:lvl w:ilvl="5" w:tplc="7EAE48CA" w:tentative="1">
      <w:start w:val="1"/>
      <w:numFmt w:val="bullet"/>
      <w:lvlText w:val="●"/>
      <w:lvlJc w:val="left"/>
      <w:pPr>
        <w:tabs>
          <w:tab w:val="num" w:pos="4320"/>
        </w:tabs>
        <w:ind w:left="4320" w:hanging="360"/>
      </w:pPr>
      <w:rPr>
        <w:rFonts w:ascii="Ericsson Hilda" w:hAnsi="Ericsson Hilda" w:hint="default"/>
      </w:rPr>
    </w:lvl>
    <w:lvl w:ilvl="6" w:tplc="E90AEC88" w:tentative="1">
      <w:start w:val="1"/>
      <w:numFmt w:val="bullet"/>
      <w:lvlText w:val="●"/>
      <w:lvlJc w:val="left"/>
      <w:pPr>
        <w:tabs>
          <w:tab w:val="num" w:pos="5040"/>
        </w:tabs>
        <w:ind w:left="5040" w:hanging="360"/>
      </w:pPr>
      <w:rPr>
        <w:rFonts w:ascii="Ericsson Hilda" w:hAnsi="Ericsson Hilda" w:hint="default"/>
      </w:rPr>
    </w:lvl>
    <w:lvl w:ilvl="7" w:tplc="C0924166" w:tentative="1">
      <w:start w:val="1"/>
      <w:numFmt w:val="bullet"/>
      <w:lvlText w:val="●"/>
      <w:lvlJc w:val="left"/>
      <w:pPr>
        <w:tabs>
          <w:tab w:val="num" w:pos="5760"/>
        </w:tabs>
        <w:ind w:left="5760" w:hanging="360"/>
      </w:pPr>
      <w:rPr>
        <w:rFonts w:ascii="Ericsson Hilda" w:hAnsi="Ericsson Hilda" w:hint="default"/>
      </w:rPr>
    </w:lvl>
    <w:lvl w:ilvl="8" w:tplc="48822DEE" w:tentative="1">
      <w:start w:val="1"/>
      <w:numFmt w:val="bullet"/>
      <w:lvlText w:val="●"/>
      <w:lvlJc w:val="left"/>
      <w:pPr>
        <w:tabs>
          <w:tab w:val="num" w:pos="6480"/>
        </w:tabs>
        <w:ind w:left="6480" w:hanging="360"/>
      </w:pPr>
      <w:rPr>
        <w:rFonts w:ascii="Ericsson Hilda" w:hAnsi="Ericsson Hilda" w:hint="default"/>
      </w:rPr>
    </w:lvl>
  </w:abstractNum>
  <w:abstractNum w:abstractNumId="4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5" w15:restartNumberingAfterBreak="0">
    <w:nsid w:val="72F73C96"/>
    <w:multiLevelType w:val="multilevel"/>
    <w:tmpl w:val="05FAB444"/>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7" w15:restartNumberingAfterBreak="0">
    <w:nsid w:val="77D90280"/>
    <w:multiLevelType w:val="hybridMultilevel"/>
    <w:tmpl w:val="1D98D7D6"/>
    <w:lvl w:ilvl="0" w:tplc="BA30390A">
      <w:start w:val="1"/>
      <w:numFmt w:val="bullet"/>
      <w:lvlText w:val="●"/>
      <w:lvlJc w:val="left"/>
      <w:pPr>
        <w:tabs>
          <w:tab w:val="num" w:pos="720"/>
        </w:tabs>
        <w:ind w:left="720" w:hanging="360"/>
      </w:pPr>
      <w:rPr>
        <w:rFonts w:ascii="Ericsson Hilda" w:hAnsi="Ericsson Hilda" w:hint="default"/>
      </w:rPr>
    </w:lvl>
    <w:lvl w:ilvl="1" w:tplc="8BDAAB50">
      <w:start w:val="1"/>
      <w:numFmt w:val="bullet"/>
      <w:lvlText w:val="●"/>
      <w:lvlJc w:val="left"/>
      <w:pPr>
        <w:tabs>
          <w:tab w:val="num" w:pos="1440"/>
        </w:tabs>
        <w:ind w:left="1440" w:hanging="360"/>
      </w:pPr>
      <w:rPr>
        <w:rFonts w:ascii="Ericsson Hilda" w:hAnsi="Ericsson Hilda" w:hint="default"/>
      </w:rPr>
    </w:lvl>
    <w:lvl w:ilvl="2" w:tplc="A32EC76E" w:tentative="1">
      <w:start w:val="1"/>
      <w:numFmt w:val="bullet"/>
      <w:lvlText w:val="●"/>
      <w:lvlJc w:val="left"/>
      <w:pPr>
        <w:tabs>
          <w:tab w:val="num" w:pos="2160"/>
        </w:tabs>
        <w:ind w:left="2160" w:hanging="360"/>
      </w:pPr>
      <w:rPr>
        <w:rFonts w:ascii="Ericsson Hilda" w:hAnsi="Ericsson Hilda" w:hint="default"/>
      </w:rPr>
    </w:lvl>
    <w:lvl w:ilvl="3" w:tplc="84E2641A" w:tentative="1">
      <w:start w:val="1"/>
      <w:numFmt w:val="bullet"/>
      <w:lvlText w:val="●"/>
      <w:lvlJc w:val="left"/>
      <w:pPr>
        <w:tabs>
          <w:tab w:val="num" w:pos="2880"/>
        </w:tabs>
        <w:ind w:left="2880" w:hanging="360"/>
      </w:pPr>
      <w:rPr>
        <w:rFonts w:ascii="Ericsson Hilda" w:hAnsi="Ericsson Hilda" w:hint="default"/>
      </w:rPr>
    </w:lvl>
    <w:lvl w:ilvl="4" w:tplc="CED2C492" w:tentative="1">
      <w:start w:val="1"/>
      <w:numFmt w:val="bullet"/>
      <w:lvlText w:val="●"/>
      <w:lvlJc w:val="left"/>
      <w:pPr>
        <w:tabs>
          <w:tab w:val="num" w:pos="3600"/>
        </w:tabs>
        <w:ind w:left="3600" w:hanging="360"/>
      </w:pPr>
      <w:rPr>
        <w:rFonts w:ascii="Ericsson Hilda" w:hAnsi="Ericsson Hilda" w:hint="default"/>
      </w:rPr>
    </w:lvl>
    <w:lvl w:ilvl="5" w:tplc="C09A508A" w:tentative="1">
      <w:start w:val="1"/>
      <w:numFmt w:val="bullet"/>
      <w:lvlText w:val="●"/>
      <w:lvlJc w:val="left"/>
      <w:pPr>
        <w:tabs>
          <w:tab w:val="num" w:pos="4320"/>
        </w:tabs>
        <w:ind w:left="4320" w:hanging="360"/>
      </w:pPr>
      <w:rPr>
        <w:rFonts w:ascii="Ericsson Hilda" w:hAnsi="Ericsson Hilda" w:hint="default"/>
      </w:rPr>
    </w:lvl>
    <w:lvl w:ilvl="6" w:tplc="58ECADBE" w:tentative="1">
      <w:start w:val="1"/>
      <w:numFmt w:val="bullet"/>
      <w:lvlText w:val="●"/>
      <w:lvlJc w:val="left"/>
      <w:pPr>
        <w:tabs>
          <w:tab w:val="num" w:pos="5040"/>
        </w:tabs>
        <w:ind w:left="5040" w:hanging="360"/>
      </w:pPr>
      <w:rPr>
        <w:rFonts w:ascii="Ericsson Hilda" w:hAnsi="Ericsson Hilda" w:hint="default"/>
      </w:rPr>
    </w:lvl>
    <w:lvl w:ilvl="7" w:tplc="02ACDFBA" w:tentative="1">
      <w:start w:val="1"/>
      <w:numFmt w:val="bullet"/>
      <w:lvlText w:val="●"/>
      <w:lvlJc w:val="left"/>
      <w:pPr>
        <w:tabs>
          <w:tab w:val="num" w:pos="5760"/>
        </w:tabs>
        <w:ind w:left="5760" w:hanging="360"/>
      </w:pPr>
      <w:rPr>
        <w:rFonts w:ascii="Ericsson Hilda" w:hAnsi="Ericsson Hilda" w:hint="default"/>
      </w:rPr>
    </w:lvl>
    <w:lvl w:ilvl="8" w:tplc="A692DE4C" w:tentative="1">
      <w:start w:val="1"/>
      <w:numFmt w:val="bullet"/>
      <w:lvlText w:val="●"/>
      <w:lvlJc w:val="left"/>
      <w:pPr>
        <w:tabs>
          <w:tab w:val="num" w:pos="6480"/>
        </w:tabs>
        <w:ind w:left="6480" w:hanging="360"/>
      </w:pPr>
      <w:rPr>
        <w:rFonts w:ascii="Ericsson Hilda" w:hAnsi="Ericsson Hilda" w:hint="default"/>
      </w:rPr>
    </w:lvl>
  </w:abstractNum>
  <w:abstractNum w:abstractNumId="48" w15:restartNumberingAfterBreak="0">
    <w:nsid w:val="77F1372C"/>
    <w:multiLevelType w:val="hybridMultilevel"/>
    <w:tmpl w:val="B6568916"/>
    <w:lvl w:ilvl="0" w:tplc="8A264E36">
      <w:start w:val="1"/>
      <w:numFmt w:val="bullet"/>
      <w:lvlText w:val="●"/>
      <w:lvlJc w:val="left"/>
      <w:pPr>
        <w:tabs>
          <w:tab w:val="num" w:pos="720"/>
        </w:tabs>
        <w:ind w:left="720" w:hanging="360"/>
      </w:pPr>
      <w:rPr>
        <w:rFonts w:ascii="Ericsson Hilda" w:hAnsi="Ericsson Hilda" w:hint="default"/>
      </w:rPr>
    </w:lvl>
    <w:lvl w:ilvl="1" w:tplc="E592B1F4">
      <w:start w:val="1"/>
      <w:numFmt w:val="bullet"/>
      <w:lvlText w:val="●"/>
      <w:lvlJc w:val="left"/>
      <w:pPr>
        <w:tabs>
          <w:tab w:val="num" w:pos="1440"/>
        </w:tabs>
        <w:ind w:left="1440" w:hanging="360"/>
      </w:pPr>
      <w:rPr>
        <w:rFonts w:ascii="Ericsson Hilda" w:hAnsi="Ericsson Hilda" w:hint="default"/>
      </w:rPr>
    </w:lvl>
    <w:lvl w:ilvl="2" w:tplc="8C0663CA" w:tentative="1">
      <w:start w:val="1"/>
      <w:numFmt w:val="bullet"/>
      <w:lvlText w:val="●"/>
      <w:lvlJc w:val="left"/>
      <w:pPr>
        <w:tabs>
          <w:tab w:val="num" w:pos="2160"/>
        </w:tabs>
        <w:ind w:left="2160" w:hanging="360"/>
      </w:pPr>
      <w:rPr>
        <w:rFonts w:ascii="Ericsson Hilda" w:hAnsi="Ericsson Hilda" w:hint="default"/>
      </w:rPr>
    </w:lvl>
    <w:lvl w:ilvl="3" w:tplc="D3F2773A" w:tentative="1">
      <w:start w:val="1"/>
      <w:numFmt w:val="bullet"/>
      <w:lvlText w:val="●"/>
      <w:lvlJc w:val="left"/>
      <w:pPr>
        <w:tabs>
          <w:tab w:val="num" w:pos="2880"/>
        </w:tabs>
        <w:ind w:left="2880" w:hanging="360"/>
      </w:pPr>
      <w:rPr>
        <w:rFonts w:ascii="Ericsson Hilda" w:hAnsi="Ericsson Hilda" w:hint="default"/>
      </w:rPr>
    </w:lvl>
    <w:lvl w:ilvl="4" w:tplc="79008556" w:tentative="1">
      <w:start w:val="1"/>
      <w:numFmt w:val="bullet"/>
      <w:lvlText w:val="●"/>
      <w:lvlJc w:val="left"/>
      <w:pPr>
        <w:tabs>
          <w:tab w:val="num" w:pos="3600"/>
        </w:tabs>
        <w:ind w:left="3600" w:hanging="360"/>
      </w:pPr>
      <w:rPr>
        <w:rFonts w:ascii="Ericsson Hilda" w:hAnsi="Ericsson Hilda" w:hint="default"/>
      </w:rPr>
    </w:lvl>
    <w:lvl w:ilvl="5" w:tplc="AD287FDA" w:tentative="1">
      <w:start w:val="1"/>
      <w:numFmt w:val="bullet"/>
      <w:lvlText w:val="●"/>
      <w:lvlJc w:val="left"/>
      <w:pPr>
        <w:tabs>
          <w:tab w:val="num" w:pos="4320"/>
        </w:tabs>
        <w:ind w:left="4320" w:hanging="360"/>
      </w:pPr>
      <w:rPr>
        <w:rFonts w:ascii="Ericsson Hilda" w:hAnsi="Ericsson Hilda" w:hint="default"/>
      </w:rPr>
    </w:lvl>
    <w:lvl w:ilvl="6" w:tplc="5742072A" w:tentative="1">
      <w:start w:val="1"/>
      <w:numFmt w:val="bullet"/>
      <w:lvlText w:val="●"/>
      <w:lvlJc w:val="left"/>
      <w:pPr>
        <w:tabs>
          <w:tab w:val="num" w:pos="5040"/>
        </w:tabs>
        <w:ind w:left="5040" w:hanging="360"/>
      </w:pPr>
      <w:rPr>
        <w:rFonts w:ascii="Ericsson Hilda" w:hAnsi="Ericsson Hilda" w:hint="default"/>
      </w:rPr>
    </w:lvl>
    <w:lvl w:ilvl="7" w:tplc="5316FE8C" w:tentative="1">
      <w:start w:val="1"/>
      <w:numFmt w:val="bullet"/>
      <w:lvlText w:val="●"/>
      <w:lvlJc w:val="left"/>
      <w:pPr>
        <w:tabs>
          <w:tab w:val="num" w:pos="5760"/>
        </w:tabs>
        <w:ind w:left="5760" w:hanging="360"/>
      </w:pPr>
      <w:rPr>
        <w:rFonts w:ascii="Ericsson Hilda" w:hAnsi="Ericsson Hilda" w:hint="default"/>
      </w:rPr>
    </w:lvl>
    <w:lvl w:ilvl="8" w:tplc="EA681712" w:tentative="1">
      <w:start w:val="1"/>
      <w:numFmt w:val="bullet"/>
      <w:lvlText w:val="●"/>
      <w:lvlJc w:val="left"/>
      <w:pPr>
        <w:tabs>
          <w:tab w:val="num" w:pos="6480"/>
        </w:tabs>
        <w:ind w:left="6480" w:hanging="360"/>
      </w:pPr>
      <w:rPr>
        <w:rFonts w:ascii="Ericsson Hilda" w:hAnsi="Ericsson Hilda" w:hint="default"/>
      </w:rPr>
    </w:lvl>
  </w:abstractNum>
  <w:abstractNum w:abstractNumId="49" w15:restartNumberingAfterBreak="0">
    <w:nsid w:val="788A1358"/>
    <w:multiLevelType w:val="multilevel"/>
    <w:tmpl w:val="89588C58"/>
    <w:lvl w:ilvl="0">
      <w:start w:val="2"/>
      <w:numFmt w:val="decimal"/>
      <w:lvlText w:val="%1"/>
      <w:lvlJc w:val="left"/>
      <w:pPr>
        <w:ind w:left="640" w:hanging="640"/>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0" w15:restartNumberingAfterBreak="0">
    <w:nsid w:val="7EE26FFA"/>
    <w:multiLevelType w:val="multilevel"/>
    <w:tmpl w:val="573C18E8"/>
    <w:lvl w:ilvl="0">
      <w:start w:val="2"/>
      <w:numFmt w:val="decimal"/>
      <w:lvlText w:val="%1"/>
      <w:lvlJc w:val="left"/>
      <w:pPr>
        <w:ind w:left="640" w:hanging="640"/>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435945876">
    <w:abstractNumId w:val="4"/>
  </w:num>
  <w:num w:numId="2" w16cid:durableId="520781292">
    <w:abstractNumId w:val="31"/>
  </w:num>
  <w:num w:numId="3" w16cid:durableId="1052582200">
    <w:abstractNumId w:val="25"/>
  </w:num>
  <w:num w:numId="4" w16cid:durableId="353849201">
    <w:abstractNumId w:val="26"/>
  </w:num>
  <w:num w:numId="5" w16cid:durableId="1175918086">
    <w:abstractNumId w:val="20"/>
  </w:num>
  <w:num w:numId="6" w16cid:durableId="2123844110">
    <w:abstractNumId w:val="29"/>
  </w:num>
  <w:num w:numId="7" w16cid:durableId="581641016">
    <w:abstractNumId w:val="37"/>
  </w:num>
  <w:num w:numId="8" w16cid:durableId="657609309">
    <w:abstractNumId w:val="21"/>
  </w:num>
  <w:num w:numId="9" w16cid:durableId="1366520033">
    <w:abstractNumId w:val="18"/>
  </w:num>
  <w:num w:numId="10" w16cid:durableId="394163831">
    <w:abstractNumId w:val="2"/>
  </w:num>
  <w:num w:numId="11" w16cid:durableId="815489977">
    <w:abstractNumId w:val="1"/>
  </w:num>
  <w:num w:numId="12" w16cid:durableId="802776768">
    <w:abstractNumId w:val="0"/>
  </w:num>
  <w:num w:numId="13" w16cid:durableId="1557155946">
    <w:abstractNumId w:val="33"/>
  </w:num>
  <w:num w:numId="14" w16cid:durableId="1499077581">
    <w:abstractNumId w:val="34"/>
  </w:num>
  <w:num w:numId="15" w16cid:durableId="151483523">
    <w:abstractNumId w:val="27"/>
  </w:num>
  <w:num w:numId="16" w16cid:durableId="1604454418">
    <w:abstractNumId w:val="40"/>
  </w:num>
  <w:num w:numId="17" w16cid:durableId="257566532">
    <w:abstractNumId w:val="15"/>
  </w:num>
  <w:num w:numId="18" w16cid:durableId="435901887">
    <w:abstractNumId w:val="17"/>
  </w:num>
  <w:num w:numId="19" w16cid:durableId="917590447">
    <w:abstractNumId w:val="8"/>
  </w:num>
  <w:num w:numId="20" w16cid:durableId="1753769855">
    <w:abstractNumId w:val="46"/>
  </w:num>
  <w:num w:numId="21" w16cid:durableId="1007633753">
    <w:abstractNumId w:val="22"/>
  </w:num>
  <w:num w:numId="22" w16cid:durableId="1806582289">
    <w:abstractNumId w:val="44"/>
  </w:num>
  <w:num w:numId="23" w16cid:durableId="460803743">
    <w:abstractNumId w:val="32"/>
  </w:num>
  <w:num w:numId="24" w16cid:durableId="1231187796">
    <w:abstractNumId w:val="41"/>
  </w:num>
  <w:num w:numId="25" w16cid:durableId="1602445459">
    <w:abstractNumId w:val="43"/>
  </w:num>
  <w:num w:numId="26" w16cid:durableId="1675255589">
    <w:abstractNumId w:val="28"/>
  </w:num>
  <w:num w:numId="27" w16cid:durableId="1143080259">
    <w:abstractNumId w:val="47"/>
  </w:num>
  <w:num w:numId="28" w16cid:durableId="1411541081">
    <w:abstractNumId w:val="48"/>
  </w:num>
  <w:num w:numId="29" w16cid:durableId="117572677">
    <w:abstractNumId w:val="6"/>
  </w:num>
  <w:num w:numId="30" w16cid:durableId="692342117">
    <w:abstractNumId w:val="42"/>
  </w:num>
  <w:num w:numId="31" w16cid:durableId="8026421">
    <w:abstractNumId w:val="13"/>
  </w:num>
  <w:num w:numId="32" w16cid:durableId="2004775427">
    <w:abstractNumId w:val="10"/>
  </w:num>
  <w:num w:numId="33" w16cid:durableId="2043357389">
    <w:abstractNumId w:val="7"/>
  </w:num>
  <w:num w:numId="34" w16cid:durableId="1096973419">
    <w:abstractNumId w:val="38"/>
  </w:num>
  <w:num w:numId="35" w16cid:durableId="1832984057">
    <w:abstractNumId w:val="19"/>
  </w:num>
  <w:num w:numId="36" w16cid:durableId="1614052903">
    <w:abstractNumId w:val="35"/>
  </w:num>
  <w:num w:numId="37" w16cid:durableId="1340425860">
    <w:abstractNumId w:val="5"/>
  </w:num>
  <w:num w:numId="38" w16cid:durableId="1944922991">
    <w:abstractNumId w:val="50"/>
  </w:num>
  <w:num w:numId="39" w16cid:durableId="1388841249">
    <w:abstractNumId w:val="49"/>
  </w:num>
  <w:num w:numId="40" w16cid:durableId="356732112">
    <w:abstractNumId w:val="3"/>
  </w:num>
  <w:num w:numId="41" w16cid:durableId="644630294">
    <w:abstractNumId w:val="11"/>
  </w:num>
  <w:num w:numId="42" w16cid:durableId="642199700">
    <w:abstractNumId w:val="9"/>
  </w:num>
  <w:num w:numId="43" w16cid:durableId="569002054">
    <w:abstractNumId w:val="30"/>
  </w:num>
  <w:num w:numId="44" w16cid:durableId="1683050459">
    <w:abstractNumId w:val="39"/>
  </w:num>
  <w:num w:numId="45" w16cid:durableId="1311717543">
    <w:abstractNumId w:val="24"/>
  </w:num>
  <w:num w:numId="46" w16cid:durableId="900213783">
    <w:abstractNumId w:val="16"/>
  </w:num>
  <w:num w:numId="47" w16cid:durableId="1371301876">
    <w:abstractNumId w:val="23"/>
  </w:num>
  <w:num w:numId="48" w16cid:durableId="1652252015">
    <w:abstractNumId w:val="12"/>
  </w:num>
  <w:num w:numId="49" w16cid:durableId="154147002">
    <w:abstractNumId w:val="36"/>
  </w:num>
  <w:num w:numId="50" w16cid:durableId="795103797">
    <w:abstractNumId w:val="45"/>
  </w:num>
  <w:num w:numId="51" w16cid:durableId="1934167663">
    <w:abstractNumId w:val="1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47D"/>
    <w:rsid w:val="0000191C"/>
    <w:rsid w:val="00002956"/>
    <w:rsid w:val="00002A37"/>
    <w:rsid w:val="00002D3A"/>
    <w:rsid w:val="000040B6"/>
    <w:rsid w:val="00004449"/>
    <w:rsid w:val="0000564C"/>
    <w:rsid w:val="00006423"/>
    <w:rsid w:val="00006446"/>
    <w:rsid w:val="00006896"/>
    <w:rsid w:val="00007CDC"/>
    <w:rsid w:val="000101AA"/>
    <w:rsid w:val="000112FB"/>
    <w:rsid w:val="00011750"/>
    <w:rsid w:val="00011B28"/>
    <w:rsid w:val="00011D82"/>
    <w:rsid w:val="00013D0A"/>
    <w:rsid w:val="00015D15"/>
    <w:rsid w:val="00016A31"/>
    <w:rsid w:val="00016ABB"/>
    <w:rsid w:val="00016D51"/>
    <w:rsid w:val="000174EC"/>
    <w:rsid w:val="000206A7"/>
    <w:rsid w:val="000209F7"/>
    <w:rsid w:val="00022A44"/>
    <w:rsid w:val="0002339E"/>
    <w:rsid w:val="0002358E"/>
    <w:rsid w:val="00024ECE"/>
    <w:rsid w:val="000251BE"/>
    <w:rsid w:val="0002564D"/>
    <w:rsid w:val="00025CA9"/>
    <w:rsid w:val="00025ECA"/>
    <w:rsid w:val="00027602"/>
    <w:rsid w:val="00027984"/>
    <w:rsid w:val="00031528"/>
    <w:rsid w:val="00031DEA"/>
    <w:rsid w:val="000321F6"/>
    <w:rsid w:val="000325B8"/>
    <w:rsid w:val="00034C15"/>
    <w:rsid w:val="00034FA7"/>
    <w:rsid w:val="00035A92"/>
    <w:rsid w:val="00036BA1"/>
    <w:rsid w:val="0003759D"/>
    <w:rsid w:val="00037C27"/>
    <w:rsid w:val="0004082D"/>
    <w:rsid w:val="000409CE"/>
    <w:rsid w:val="00041167"/>
    <w:rsid w:val="000422E2"/>
    <w:rsid w:val="0004244D"/>
    <w:rsid w:val="00042CF3"/>
    <w:rsid w:val="00042F22"/>
    <w:rsid w:val="00042FE1"/>
    <w:rsid w:val="0004356E"/>
    <w:rsid w:val="0004359C"/>
    <w:rsid w:val="0004422E"/>
    <w:rsid w:val="000444EF"/>
    <w:rsid w:val="00045165"/>
    <w:rsid w:val="00052A07"/>
    <w:rsid w:val="00052DFF"/>
    <w:rsid w:val="00053428"/>
    <w:rsid w:val="000534E3"/>
    <w:rsid w:val="00053FD0"/>
    <w:rsid w:val="00055025"/>
    <w:rsid w:val="0005514C"/>
    <w:rsid w:val="000558D7"/>
    <w:rsid w:val="0005606A"/>
    <w:rsid w:val="00056711"/>
    <w:rsid w:val="000567E2"/>
    <w:rsid w:val="00057117"/>
    <w:rsid w:val="00060141"/>
    <w:rsid w:val="000613D9"/>
    <w:rsid w:val="00061481"/>
    <w:rsid w:val="000616E7"/>
    <w:rsid w:val="00063803"/>
    <w:rsid w:val="00063AE4"/>
    <w:rsid w:val="000641EE"/>
    <w:rsid w:val="00064427"/>
    <w:rsid w:val="00064439"/>
    <w:rsid w:val="0006487E"/>
    <w:rsid w:val="00064C20"/>
    <w:rsid w:val="00065167"/>
    <w:rsid w:val="0006551D"/>
    <w:rsid w:val="00065670"/>
    <w:rsid w:val="00065E1A"/>
    <w:rsid w:val="00065F4A"/>
    <w:rsid w:val="00067BF0"/>
    <w:rsid w:val="000715E4"/>
    <w:rsid w:val="00073376"/>
    <w:rsid w:val="000754E3"/>
    <w:rsid w:val="000755E0"/>
    <w:rsid w:val="000757B7"/>
    <w:rsid w:val="00075B1C"/>
    <w:rsid w:val="00075D11"/>
    <w:rsid w:val="000761A3"/>
    <w:rsid w:val="00077E5F"/>
    <w:rsid w:val="0008036A"/>
    <w:rsid w:val="00081866"/>
    <w:rsid w:val="00081AE6"/>
    <w:rsid w:val="00082160"/>
    <w:rsid w:val="000822EE"/>
    <w:rsid w:val="00083136"/>
    <w:rsid w:val="00083472"/>
    <w:rsid w:val="00083B03"/>
    <w:rsid w:val="00084735"/>
    <w:rsid w:val="000855EB"/>
    <w:rsid w:val="00085B52"/>
    <w:rsid w:val="00085EF7"/>
    <w:rsid w:val="00085FAF"/>
    <w:rsid w:val="000866F2"/>
    <w:rsid w:val="00086BF8"/>
    <w:rsid w:val="00086FCC"/>
    <w:rsid w:val="0009009F"/>
    <w:rsid w:val="000900FB"/>
    <w:rsid w:val="00091557"/>
    <w:rsid w:val="0009165D"/>
    <w:rsid w:val="00091B0B"/>
    <w:rsid w:val="000924C1"/>
    <w:rsid w:val="000924F0"/>
    <w:rsid w:val="00092DB3"/>
    <w:rsid w:val="00093474"/>
    <w:rsid w:val="00094504"/>
    <w:rsid w:val="0009510F"/>
    <w:rsid w:val="000956E6"/>
    <w:rsid w:val="0009633C"/>
    <w:rsid w:val="00097AA0"/>
    <w:rsid w:val="00097B62"/>
    <w:rsid w:val="00097F07"/>
    <w:rsid w:val="00097F10"/>
    <w:rsid w:val="000A18D0"/>
    <w:rsid w:val="000A1B7B"/>
    <w:rsid w:val="000A3849"/>
    <w:rsid w:val="000A38D7"/>
    <w:rsid w:val="000A3F9F"/>
    <w:rsid w:val="000A4C0A"/>
    <w:rsid w:val="000A54CE"/>
    <w:rsid w:val="000A56F2"/>
    <w:rsid w:val="000A6D13"/>
    <w:rsid w:val="000A7A14"/>
    <w:rsid w:val="000B20E5"/>
    <w:rsid w:val="000B257B"/>
    <w:rsid w:val="000B2719"/>
    <w:rsid w:val="000B2ABF"/>
    <w:rsid w:val="000B3A8F"/>
    <w:rsid w:val="000B4AB9"/>
    <w:rsid w:val="000B58C3"/>
    <w:rsid w:val="000B61E9"/>
    <w:rsid w:val="000B6D59"/>
    <w:rsid w:val="000C0D50"/>
    <w:rsid w:val="000C0D60"/>
    <w:rsid w:val="000C165A"/>
    <w:rsid w:val="000C1A7B"/>
    <w:rsid w:val="000C231A"/>
    <w:rsid w:val="000C241E"/>
    <w:rsid w:val="000C2578"/>
    <w:rsid w:val="000C2E19"/>
    <w:rsid w:val="000C3044"/>
    <w:rsid w:val="000C327C"/>
    <w:rsid w:val="000C34BA"/>
    <w:rsid w:val="000C524D"/>
    <w:rsid w:val="000C5977"/>
    <w:rsid w:val="000C6033"/>
    <w:rsid w:val="000C6499"/>
    <w:rsid w:val="000C6532"/>
    <w:rsid w:val="000D0D07"/>
    <w:rsid w:val="000D13BA"/>
    <w:rsid w:val="000D2448"/>
    <w:rsid w:val="000D2659"/>
    <w:rsid w:val="000D4797"/>
    <w:rsid w:val="000D49E4"/>
    <w:rsid w:val="000D5AE5"/>
    <w:rsid w:val="000D631E"/>
    <w:rsid w:val="000E0527"/>
    <w:rsid w:val="000E1474"/>
    <w:rsid w:val="000E192A"/>
    <w:rsid w:val="000E1E92"/>
    <w:rsid w:val="000E20CB"/>
    <w:rsid w:val="000E3DC1"/>
    <w:rsid w:val="000E452D"/>
    <w:rsid w:val="000E67C8"/>
    <w:rsid w:val="000F03F4"/>
    <w:rsid w:val="000F06D6"/>
    <w:rsid w:val="000F0EB1"/>
    <w:rsid w:val="000F1106"/>
    <w:rsid w:val="000F11A8"/>
    <w:rsid w:val="000F3BE9"/>
    <w:rsid w:val="000F3D0C"/>
    <w:rsid w:val="000F3F6C"/>
    <w:rsid w:val="000F4359"/>
    <w:rsid w:val="000F441C"/>
    <w:rsid w:val="000F4B4E"/>
    <w:rsid w:val="000F5012"/>
    <w:rsid w:val="000F55C8"/>
    <w:rsid w:val="000F5AF4"/>
    <w:rsid w:val="000F5C8D"/>
    <w:rsid w:val="000F658A"/>
    <w:rsid w:val="000F6DF3"/>
    <w:rsid w:val="000F72A0"/>
    <w:rsid w:val="001005FF"/>
    <w:rsid w:val="00100872"/>
    <w:rsid w:val="00100E2B"/>
    <w:rsid w:val="00101A76"/>
    <w:rsid w:val="00102B50"/>
    <w:rsid w:val="00103C2B"/>
    <w:rsid w:val="001041DB"/>
    <w:rsid w:val="001045C6"/>
    <w:rsid w:val="001046EA"/>
    <w:rsid w:val="00104B7A"/>
    <w:rsid w:val="001062FB"/>
    <w:rsid w:val="001063E6"/>
    <w:rsid w:val="001072E3"/>
    <w:rsid w:val="001111DC"/>
    <w:rsid w:val="00112095"/>
    <w:rsid w:val="00112CD8"/>
    <w:rsid w:val="001135AE"/>
    <w:rsid w:val="00113CF4"/>
    <w:rsid w:val="00113DE0"/>
    <w:rsid w:val="00113F81"/>
    <w:rsid w:val="00114A2C"/>
    <w:rsid w:val="00114D46"/>
    <w:rsid w:val="001153EA"/>
    <w:rsid w:val="00115643"/>
    <w:rsid w:val="00115B30"/>
    <w:rsid w:val="00116256"/>
    <w:rsid w:val="001163AF"/>
    <w:rsid w:val="00116765"/>
    <w:rsid w:val="0011764B"/>
    <w:rsid w:val="00120311"/>
    <w:rsid w:val="00120425"/>
    <w:rsid w:val="00120645"/>
    <w:rsid w:val="00121192"/>
    <w:rsid w:val="001219F5"/>
    <w:rsid w:val="00121A20"/>
    <w:rsid w:val="00121E94"/>
    <w:rsid w:val="00122808"/>
    <w:rsid w:val="001230B3"/>
    <w:rsid w:val="0012377F"/>
    <w:rsid w:val="00124155"/>
    <w:rsid w:val="00124314"/>
    <w:rsid w:val="00124B51"/>
    <w:rsid w:val="0012608E"/>
    <w:rsid w:val="00126A98"/>
    <w:rsid w:val="00126B4A"/>
    <w:rsid w:val="001305F0"/>
    <w:rsid w:val="00130FB8"/>
    <w:rsid w:val="00131D6B"/>
    <w:rsid w:val="001323A3"/>
    <w:rsid w:val="00132FD0"/>
    <w:rsid w:val="00133004"/>
    <w:rsid w:val="00133C37"/>
    <w:rsid w:val="0013404A"/>
    <w:rsid w:val="001344C0"/>
    <w:rsid w:val="001346FA"/>
    <w:rsid w:val="00135252"/>
    <w:rsid w:val="001358AD"/>
    <w:rsid w:val="00136AE7"/>
    <w:rsid w:val="0013778D"/>
    <w:rsid w:val="00137AB5"/>
    <w:rsid w:val="00137C2D"/>
    <w:rsid w:val="00137F0B"/>
    <w:rsid w:val="00140684"/>
    <w:rsid w:val="00140F41"/>
    <w:rsid w:val="00141229"/>
    <w:rsid w:val="001424E2"/>
    <w:rsid w:val="001428BA"/>
    <w:rsid w:val="001434E2"/>
    <w:rsid w:val="001436B9"/>
    <w:rsid w:val="0014377B"/>
    <w:rsid w:val="00143DCA"/>
    <w:rsid w:val="00143FED"/>
    <w:rsid w:val="00144139"/>
    <w:rsid w:val="0014474E"/>
    <w:rsid w:val="00145827"/>
    <w:rsid w:val="00145C88"/>
    <w:rsid w:val="0014618A"/>
    <w:rsid w:val="001468E5"/>
    <w:rsid w:val="00147342"/>
    <w:rsid w:val="00147672"/>
    <w:rsid w:val="001508E9"/>
    <w:rsid w:val="001515B4"/>
    <w:rsid w:val="0015170B"/>
    <w:rsid w:val="00151E23"/>
    <w:rsid w:val="001526E0"/>
    <w:rsid w:val="00152D98"/>
    <w:rsid w:val="00154752"/>
    <w:rsid w:val="001551B5"/>
    <w:rsid w:val="001554D0"/>
    <w:rsid w:val="00156D20"/>
    <w:rsid w:val="00156FF2"/>
    <w:rsid w:val="00157A1D"/>
    <w:rsid w:val="00157FB6"/>
    <w:rsid w:val="001610D5"/>
    <w:rsid w:val="00161E85"/>
    <w:rsid w:val="0016214C"/>
    <w:rsid w:val="00162B78"/>
    <w:rsid w:val="001659C1"/>
    <w:rsid w:val="001661E5"/>
    <w:rsid w:val="001663B2"/>
    <w:rsid w:val="001665F6"/>
    <w:rsid w:val="00166C29"/>
    <w:rsid w:val="0016758D"/>
    <w:rsid w:val="0016776C"/>
    <w:rsid w:val="00167A6E"/>
    <w:rsid w:val="001703A3"/>
    <w:rsid w:val="0017123F"/>
    <w:rsid w:val="00173A8E"/>
    <w:rsid w:val="001743C5"/>
    <w:rsid w:val="00174819"/>
    <w:rsid w:val="0017502C"/>
    <w:rsid w:val="00175E28"/>
    <w:rsid w:val="001766FD"/>
    <w:rsid w:val="00176992"/>
    <w:rsid w:val="00180114"/>
    <w:rsid w:val="001801C3"/>
    <w:rsid w:val="00180844"/>
    <w:rsid w:val="0018143F"/>
    <w:rsid w:val="00181FF8"/>
    <w:rsid w:val="0018271D"/>
    <w:rsid w:val="0018360D"/>
    <w:rsid w:val="00183944"/>
    <w:rsid w:val="00183D0F"/>
    <w:rsid w:val="0018423A"/>
    <w:rsid w:val="001844ED"/>
    <w:rsid w:val="0018468D"/>
    <w:rsid w:val="00184E6F"/>
    <w:rsid w:val="00184F7F"/>
    <w:rsid w:val="00185055"/>
    <w:rsid w:val="001869B8"/>
    <w:rsid w:val="0018756C"/>
    <w:rsid w:val="00190ABC"/>
    <w:rsid w:val="00190AC1"/>
    <w:rsid w:val="00191C55"/>
    <w:rsid w:val="00192B40"/>
    <w:rsid w:val="0019341A"/>
    <w:rsid w:val="001941B7"/>
    <w:rsid w:val="00197067"/>
    <w:rsid w:val="00197DAB"/>
    <w:rsid w:val="00197DF9"/>
    <w:rsid w:val="001A0B4C"/>
    <w:rsid w:val="001A1987"/>
    <w:rsid w:val="001A2159"/>
    <w:rsid w:val="001A2564"/>
    <w:rsid w:val="001A28F0"/>
    <w:rsid w:val="001A444E"/>
    <w:rsid w:val="001A6173"/>
    <w:rsid w:val="001A6CBA"/>
    <w:rsid w:val="001A73FF"/>
    <w:rsid w:val="001A74F6"/>
    <w:rsid w:val="001B06B5"/>
    <w:rsid w:val="001B0D97"/>
    <w:rsid w:val="001B2768"/>
    <w:rsid w:val="001B2B99"/>
    <w:rsid w:val="001B2C09"/>
    <w:rsid w:val="001B3C06"/>
    <w:rsid w:val="001B4D5F"/>
    <w:rsid w:val="001B56D0"/>
    <w:rsid w:val="001B5A5D"/>
    <w:rsid w:val="001B77B6"/>
    <w:rsid w:val="001B7A53"/>
    <w:rsid w:val="001C0EA4"/>
    <w:rsid w:val="001C1B0A"/>
    <w:rsid w:val="001C1CE5"/>
    <w:rsid w:val="001C202C"/>
    <w:rsid w:val="001C2766"/>
    <w:rsid w:val="001C3BCB"/>
    <w:rsid w:val="001C3D2A"/>
    <w:rsid w:val="001C52B1"/>
    <w:rsid w:val="001C5B63"/>
    <w:rsid w:val="001C7A4D"/>
    <w:rsid w:val="001D1A44"/>
    <w:rsid w:val="001D2E2F"/>
    <w:rsid w:val="001D35AA"/>
    <w:rsid w:val="001D38E0"/>
    <w:rsid w:val="001D3A1F"/>
    <w:rsid w:val="001D4C62"/>
    <w:rsid w:val="001D51BA"/>
    <w:rsid w:val="001D53E7"/>
    <w:rsid w:val="001D61F2"/>
    <w:rsid w:val="001D6342"/>
    <w:rsid w:val="001D6D53"/>
    <w:rsid w:val="001E0DEF"/>
    <w:rsid w:val="001E27DF"/>
    <w:rsid w:val="001E2879"/>
    <w:rsid w:val="001E2D7E"/>
    <w:rsid w:val="001E3BD9"/>
    <w:rsid w:val="001E3E81"/>
    <w:rsid w:val="001E40A8"/>
    <w:rsid w:val="001E4C6C"/>
    <w:rsid w:val="001E4E5D"/>
    <w:rsid w:val="001E5155"/>
    <w:rsid w:val="001E541D"/>
    <w:rsid w:val="001E58BA"/>
    <w:rsid w:val="001E58E2"/>
    <w:rsid w:val="001E6A19"/>
    <w:rsid w:val="001E6FD9"/>
    <w:rsid w:val="001E7AED"/>
    <w:rsid w:val="001F0158"/>
    <w:rsid w:val="001F0A20"/>
    <w:rsid w:val="001F132E"/>
    <w:rsid w:val="001F2723"/>
    <w:rsid w:val="001F2AD8"/>
    <w:rsid w:val="001F34A8"/>
    <w:rsid w:val="001F3545"/>
    <w:rsid w:val="001F3916"/>
    <w:rsid w:val="001F3AAF"/>
    <w:rsid w:val="001F54C5"/>
    <w:rsid w:val="001F5A5C"/>
    <w:rsid w:val="001F5F92"/>
    <w:rsid w:val="001F662C"/>
    <w:rsid w:val="001F6907"/>
    <w:rsid w:val="001F7074"/>
    <w:rsid w:val="001F7E72"/>
    <w:rsid w:val="00200490"/>
    <w:rsid w:val="002013DE"/>
    <w:rsid w:val="00201DF1"/>
    <w:rsid w:val="00201F3A"/>
    <w:rsid w:val="00203F96"/>
    <w:rsid w:val="00205088"/>
    <w:rsid w:val="0020599B"/>
    <w:rsid w:val="002060AC"/>
    <w:rsid w:val="002069B2"/>
    <w:rsid w:val="0020733E"/>
    <w:rsid w:val="002073B1"/>
    <w:rsid w:val="00207FA3"/>
    <w:rsid w:val="00210648"/>
    <w:rsid w:val="00210B36"/>
    <w:rsid w:val="0021154D"/>
    <w:rsid w:val="00212031"/>
    <w:rsid w:val="00214B3F"/>
    <w:rsid w:val="00214DA8"/>
    <w:rsid w:val="00215423"/>
    <w:rsid w:val="002158FA"/>
    <w:rsid w:val="0021592C"/>
    <w:rsid w:val="00220600"/>
    <w:rsid w:val="002224DB"/>
    <w:rsid w:val="00222610"/>
    <w:rsid w:val="002231AD"/>
    <w:rsid w:val="00223218"/>
    <w:rsid w:val="00223FCB"/>
    <w:rsid w:val="002242A9"/>
    <w:rsid w:val="00224333"/>
    <w:rsid w:val="00224611"/>
    <w:rsid w:val="00224876"/>
    <w:rsid w:val="002252C3"/>
    <w:rsid w:val="00225C54"/>
    <w:rsid w:val="00227E3D"/>
    <w:rsid w:val="00230726"/>
    <w:rsid w:val="00230765"/>
    <w:rsid w:val="00230A6D"/>
    <w:rsid w:val="00230D18"/>
    <w:rsid w:val="002319E4"/>
    <w:rsid w:val="00231A67"/>
    <w:rsid w:val="002325FF"/>
    <w:rsid w:val="00232953"/>
    <w:rsid w:val="00232F78"/>
    <w:rsid w:val="00235632"/>
    <w:rsid w:val="00235872"/>
    <w:rsid w:val="00235AC7"/>
    <w:rsid w:val="00236AEA"/>
    <w:rsid w:val="00236E7F"/>
    <w:rsid w:val="00236F30"/>
    <w:rsid w:val="00236F5E"/>
    <w:rsid w:val="00240699"/>
    <w:rsid w:val="00240875"/>
    <w:rsid w:val="00240E5D"/>
    <w:rsid w:val="00241559"/>
    <w:rsid w:val="0024208C"/>
    <w:rsid w:val="002427A6"/>
    <w:rsid w:val="002435B3"/>
    <w:rsid w:val="00243FFF"/>
    <w:rsid w:val="002444DD"/>
    <w:rsid w:val="002452D2"/>
    <w:rsid w:val="002458EB"/>
    <w:rsid w:val="002467D1"/>
    <w:rsid w:val="002475C0"/>
    <w:rsid w:val="002500C8"/>
    <w:rsid w:val="0025020E"/>
    <w:rsid w:val="0025095E"/>
    <w:rsid w:val="00250F3B"/>
    <w:rsid w:val="00252278"/>
    <w:rsid w:val="0025330E"/>
    <w:rsid w:val="002535D6"/>
    <w:rsid w:val="00253761"/>
    <w:rsid w:val="00255A65"/>
    <w:rsid w:val="002564D9"/>
    <w:rsid w:val="00257405"/>
    <w:rsid w:val="00257543"/>
    <w:rsid w:val="00261775"/>
    <w:rsid w:val="002617E7"/>
    <w:rsid w:val="00262281"/>
    <w:rsid w:val="00262307"/>
    <w:rsid w:val="00264228"/>
    <w:rsid w:val="002642CB"/>
    <w:rsid w:val="00264334"/>
    <w:rsid w:val="0026473E"/>
    <w:rsid w:val="00265C5E"/>
    <w:rsid w:val="00266214"/>
    <w:rsid w:val="00266567"/>
    <w:rsid w:val="00266AB5"/>
    <w:rsid w:val="00267C83"/>
    <w:rsid w:val="00270D69"/>
    <w:rsid w:val="0027144F"/>
    <w:rsid w:val="00271813"/>
    <w:rsid w:val="00271F3A"/>
    <w:rsid w:val="0027213B"/>
    <w:rsid w:val="00272A45"/>
    <w:rsid w:val="00273278"/>
    <w:rsid w:val="002737F4"/>
    <w:rsid w:val="002758F6"/>
    <w:rsid w:val="002805F5"/>
    <w:rsid w:val="00280751"/>
    <w:rsid w:val="0028280A"/>
    <w:rsid w:val="00282DAE"/>
    <w:rsid w:val="002831AB"/>
    <w:rsid w:val="00284193"/>
    <w:rsid w:val="00286035"/>
    <w:rsid w:val="00286850"/>
    <w:rsid w:val="0028696A"/>
    <w:rsid w:val="00286ACD"/>
    <w:rsid w:val="00286B57"/>
    <w:rsid w:val="00287838"/>
    <w:rsid w:val="002907B5"/>
    <w:rsid w:val="002925EB"/>
    <w:rsid w:val="00292EB7"/>
    <w:rsid w:val="00293C50"/>
    <w:rsid w:val="00294931"/>
    <w:rsid w:val="00294B09"/>
    <w:rsid w:val="002950EB"/>
    <w:rsid w:val="002953E6"/>
    <w:rsid w:val="002954AC"/>
    <w:rsid w:val="002957FA"/>
    <w:rsid w:val="002959F4"/>
    <w:rsid w:val="00296227"/>
    <w:rsid w:val="00296F44"/>
    <w:rsid w:val="0029777D"/>
    <w:rsid w:val="002A055E"/>
    <w:rsid w:val="002A0F02"/>
    <w:rsid w:val="002A1580"/>
    <w:rsid w:val="002A1D4E"/>
    <w:rsid w:val="002A26AE"/>
    <w:rsid w:val="002A2869"/>
    <w:rsid w:val="002A521B"/>
    <w:rsid w:val="002A578E"/>
    <w:rsid w:val="002A5A4C"/>
    <w:rsid w:val="002A5C6A"/>
    <w:rsid w:val="002A5D48"/>
    <w:rsid w:val="002A6094"/>
    <w:rsid w:val="002A634A"/>
    <w:rsid w:val="002A64CE"/>
    <w:rsid w:val="002A7600"/>
    <w:rsid w:val="002A7E44"/>
    <w:rsid w:val="002B12C7"/>
    <w:rsid w:val="002B1F79"/>
    <w:rsid w:val="002B24D6"/>
    <w:rsid w:val="002B3520"/>
    <w:rsid w:val="002B3D7B"/>
    <w:rsid w:val="002B3FE7"/>
    <w:rsid w:val="002B418A"/>
    <w:rsid w:val="002B4206"/>
    <w:rsid w:val="002B4E90"/>
    <w:rsid w:val="002B4E97"/>
    <w:rsid w:val="002B6391"/>
    <w:rsid w:val="002B69E3"/>
    <w:rsid w:val="002B6A75"/>
    <w:rsid w:val="002B6DA9"/>
    <w:rsid w:val="002B6E58"/>
    <w:rsid w:val="002B7085"/>
    <w:rsid w:val="002C126B"/>
    <w:rsid w:val="002C23F1"/>
    <w:rsid w:val="002C26BD"/>
    <w:rsid w:val="002C2CF2"/>
    <w:rsid w:val="002C2CFC"/>
    <w:rsid w:val="002C2FBC"/>
    <w:rsid w:val="002C41E6"/>
    <w:rsid w:val="002C6134"/>
    <w:rsid w:val="002C6FBF"/>
    <w:rsid w:val="002C7605"/>
    <w:rsid w:val="002D071A"/>
    <w:rsid w:val="002D11F1"/>
    <w:rsid w:val="002D1724"/>
    <w:rsid w:val="002D1F28"/>
    <w:rsid w:val="002D34B2"/>
    <w:rsid w:val="002D48B0"/>
    <w:rsid w:val="002D4989"/>
    <w:rsid w:val="002D56B9"/>
    <w:rsid w:val="002D5B37"/>
    <w:rsid w:val="002D5B45"/>
    <w:rsid w:val="002D60E7"/>
    <w:rsid w:val="002D60FC"/>
    <w:rsid w:val="002D6DE3"/>
    <w:rsid w:val="002D7637"/>
    <w:rsid w:val="002E093D"/>
    <w:rsid w:val="002E141C"/>
    <w:rsid w:val="002E17F2"/>
    <w:rsid w:val="002E30C6"/>
    <w:rsid w:val="002E323A"/>
    <w:rsid w:val="002E3325"/>
    <w:rsid w:val="002E361E"/>
    <w:rsid w:val="002E39EB"/>
    <w:rsid w:val="002E4820"/>
    <w:rsid w:val="002E55F0"/>
    <w:rsid w:val="002E5A80"/>
    <w:rsid w:val="002E5B5E"/>
    <w:rsid w:val="002E6668"/>
    <w:rsid w:val="002E6843"/>
    <w:rsid w:val="002E7CAE"/>
    <w:rsid w:val="002F069C"/>
    <w:rsid w:val="002F0930"/>
    <w:rsid w:val="002F0E40"/>
    <w:rsid w:val="002F13E4"/>
    <w:rsid w:val="002F2771"/>
    <w:rsid w:val="002F2B81"/>
    <w:rsid w:val="002F3713"/>
    <w:rsid w:val="002F37A9"/>
    <w:rsid w:val="002F49FF"/>
    <w:rsid w:val="002F4FCC"/>
    <w:rsid w:val="002F5392"/>
    <w:rsid w:val="002F65EF"/>
    <w:rsid w:val="002F69DA"/>
    <w:rsid w:val="003007DB"/>
    <w:rsid w:val="00300CB0"/>
    <w:rsid w:val="00301214"/>
    <w:rsid w:val="00301697"/>
    <w:rsid w:val="00301CE6"/>
    <w:rsid w:val="0030256B"/>
    <w:rsid w:val="0030476A"/>
    <w:rsid w:val="00304FC4"/>
    <w:rsid w:val="0030501F"/>
    <w:rsid w:val="003062B6"/>
    <w:rsid w:val="003065EC"/>
    <w:rsid w:val="00306803"/>
    <w:rsid w:val="00306E8E"/>
    <w:rsid w:val="003071F2"/>
    <w:rsid w:val="00307717"/>
    <w:rsid w:val="00307BA1"/>
    <w:rsid w:val="00307E1B"/>
    <w:rsid w:val="00310560"/>
    <w:rsid w:val="00311702"/>
    <w:rsid w:val="00311E82"/>
    <w:rsid w:val="003122F6"/>
    <w:rsid w:val="0031258B"/>
    <w:rsid w:val="00313FD6"/>
    <w:rsid w:val="003143BD"/>
    <w:rsid w:val="00315363"/>
    <w:rsid w:val="00315DEA"/>
    <w:rsid w:val="003163D8"/>
    <w:rsid w:val="003203ED"/>
    <w:rsid w:val="0032080F"/>
    <w:rsid w:val="00321145"/>
    <w:rsid w:val="0032133A"/>
    <w:rsid w:val="00321AC9"/>
    <w:rsid w:val="00321CDE"/>
    <w:rsid w:val="00322320"/>
    <w:rsid w:val="00322B0F"/>
    <w:rsid w:val="00322C9F"/>
    <w:rsid w:val="00322F76"/>
    <w:rsid w:val="00323CD6"/>
    <w:rsid w:val="00324777"/>
    <w:rsid w:val="0032489E"/>
    <w:rsid w:val="00324C8C"/>
    <w:rsid w:val="00324D23"/>
    <w:rsid w:val="003254B0"/>
    <w:rsid w:val="00326926"/>
    <w:rsid w:val="00326D32"/>
    <w:rsid w:val="00327983"/>
    <w:rsid w:val="00327B3A"/>
    <w:rsid w:val="00327CA8"/>
    <w:rsid w:val="00327E3D"/>
    <w:rsid w:val="00331751"/>
    <w:rsid w:val="003320CF"/>
    <w:rsid w:val="003331D2"/>
    <w:rsid w:val="00334579"/>
    <w:rsid w:val="00335006"/>
    <w:rsid w:val="00335858"/>
    <w:rsid w:val="00336BDA"/>
    <w:rsid w:val="00336E6B"/>
    <w:rsid w:val="00337BCF"/>
    <w:rsid w:val="00337F52"/>
    <w:rsid w:val="00341966"/>
    <w:rsid w:val="00341D48"/>
    <w:rsid w:val="00342260"/>
    <w:rsid w:val="0034251B"/>
    <w:rsid w:val="0034288A"/>
    <w:rsid w:val="00342BD7"/>
    <w:rsid w:val="00344537"/>
    <w:rsid w:val="00344ACB"/>
    <w:rsid w:val="00345BE0"/>
    <w:rsid w:val="00346783"/>
    <w:rsid w:val="00346DB5"/>
    <w:rsid w:val="00346E0B"/>
    <w:rsid w:val="003477B1"/>
    <w:rsid w:val="0034789F"/>
    <w:rsid w:val="00347945"/>
    <w:rsid w:val="00347B32"/>
    <w:rsid w:val="00350911"/>
    <w:rsid w:val="00351516"/>
    <w:rsid w:val="00351909"/>
    <w:rsid w:val="00352CC4"/>
    <w:rsid w:val="00354416"/>
    <w:rsid w:val="003547AA"/>
    <w:rsid w:val="003548B2"/>
    <w:rsid w:val="003554F1"/>
    <w:rsid w:val="00355987"/>
    <w:rsid w:val="00355F8B"/>
    <w:rsid w:val="00356EE8"/>
    <w:rsid w:val="003572FD"/>
    <w:rsid w:val="00357380"/>
    <w:rsid w:val="003602D9"/>
    <w:rsid w:val="003604CE"/>
    <w:rsid w:val="0036052A"/>
    <w:rsid w:val="00361AE0"/>
    <w:rsid w:val="00363649"/>
    <w:rsid w:val="00364AFE"/>
    <w:rsid w:val="00365B5A"/>
    <w:rsid w:val="00365CE3"/>
    <w:rsid w:val="00365E2B"/>
    <w:rsid w:val="0036643D"/>
    <w:rsid w:val="00367731"/>
    <w:rsid w:val="00370E47"/>
    <w:rsid w:val="0037150E"/>
    <w:rsid w:val="00371B86"/>
    <w:rsid w:val="0037256A"/>
    <w:rsid w:val="003736E3"/>
    <w:rsid w:val="003737DC"/>
    <w:rsid w:val="003739B8"/>
    <w:rsid w:val="00373F48"/>
    <w:rsid w:val="003742AC"/>
    <w:rsid w:val="003748FA"/>
    <w:rsid w:val="00375061"/>
    <w:rsid w:val="00375A47"/>
    <w:rsid w:val="00375CB0"/>
    <w:rsid w:val="00376370"/>
    <w:rsid w:val="00376510"/>
    <w:rsid w:val="003774E3"/>
    <w:rsid w:val="00377618"/>
    <w:rsid w:val="00377BCD"/>
    <w:rsid w:val="00377CE1"/>
    <w:rsid w:val="003823BB"/>
    <w:rsid w:val="00382570"/>
    <w:rsid w:val="00382E8E"/>
    <w:rsid w:val="00383860"/>
    <w:rsid w:val="003846B9"/>
    <w:rsid w:val="00384EBF"/>
    <w:rsid w:val="003851FA"/>
    <w:rsid w:val="0038587A"/>
    <w:rsid w:val="00385BF0"/>
    <w:rsid w:val="0038746B"/>
    <w:rsid w:val="003878A2"/>
    <w:rsid w:val="00387BB1"/>
    <w:rsid w:val="00390800"/>
    <w:rsid w:val="00390834"/>
    <w:rsid w:val="00390C51"/>
    <w:rsid w:val="0039107D"/>
    <w:rsid w:val="003939FF"/>
    <w:rsid w:val="00393E21"/>
    <w:rsid w:val="00394C94"/>
    <w:rsid w:val="003961D6"/>
    <w:rsid w:val="00396BB7"/>
    <w:rsid w:val="00397161"/>
    <w:rsid w:val="003A2223"/>
    <w:rsid w:val="003A22E5"/>
    <w:rsid w:val="003A2A0F"/>
    <w:rsid w:val="003A3073"/>
    <w:rsid w:val="003A36B6"/>
    <w:rsid w:val="003A3748"/>
    <w:rsid w:val="003A3939"/>
    <w:rsid w:val="003A45A1"/>
    <w:rsid w:val="003A547B"/>
    <w:rsid w:val="003A5B0A"/>
    <w:rsid w:val="003A6A77"/>
    <w:rsid w:val="003A6BAC"/>
    <w:rsid w:val="003A70A4"/>
    <w:rsid w:val="003A781A"/>
    <w:rsid w:val="003A7EF3"/>
    <w:rsid w:val="003B0AAC"/>
    <w:rsid w:val="003B0B39"/>
    <w:rsid w:val="003B159C"/>
    <w:rsid w:val="003B1B5E"/>
    <w:rsid w:val="003B2A0D"/>
    <w:rsid w:val="003B2FBB"/>
    <w:rsid w:val="003B369F"/>
    <w:rsid w:val="003B36A3"/>
    <w:rsid w:val="003B64BB"/>
    <w:rsid w:val="003B7FE5"/>
    <w:rsid w:val="003C0B72"/>
    <w:rsid w:val="003C11C8"/>
    <w:rsid w:val="003C1AC1"/>
    <w:rsid w:val="003C203C"/>
    <w:rsid w:val="003C2702"/>
    <w:rsid w:val="003C3ABA"/>
    <w:rsid w:val="003C49DB"/>
    <w:rsid w:val="003C6333"/>
    <w:rsid w:val="003C65BF"/>
    <w:rsid w:val="003C6D12"/>
    <w:rsid w:val="003C77F6"/>
    <w:rsid w:val="003C7806"/>
    <w:rsid w:val="003D109F"/>
    <w:rsid w:val="003D11A0"/>
    <w:rsid w:val="003D1B93"/>
    <w:rsid w:val="003D2478"/>
    <w:rsid w:val="003D2F73"/>
    <w:rsid w:val="003D3C45"/>
    <w:rsid w:val="003D53B6"/>
    <w:rsid w:val="003D5B1F"/>
    <w:rsid w:val="003D6903"/>
    <w:rsid w:val="003D6D13"/>
    <w:rsid w:val="003D7673"/>
    <w:rsid w:val="003D7C0F"/>
    <w:rsid w:val="003D7DFA"/>
    <w:rsid w:val="003E15FA"/>
    <w:rsid w:val="003E2EFE"/>
    <w:rsid w:val="003E3FBA"/>
    <w:rsid w:val="003E47DD"/>
    <w:rsid w:val="003E4AAC"/>
    <w:rsid w:val="003E549B"/>
    <w:rsid w:val="003E55E4"/>
    <w:rsid w:val="003E7223"/>
    <w:rsid w:val="003E7354"/>
    <w:rsid w:val="003E74E3"/>
    <w:rsid w:val="003E76DD"/>
    <w:rsid w:val="003F05C7"/>
    <w:rsid w:val="003F1261"/>
    <w:rsid w:val="003F170F"/>
    <w:rsid w:val="003F2866"/>
    <w:rsid w:val="003F2BC5"/>
    <w:rsid w:val="003F2CD4"/>
    <w:rsid w:val="003F326E"/>
    <w:rsid w:val="003F4029"/>
    <w:rsid w:val="003F425C"/>
    <w:rsid w:val="003F52C1"/>
    <w:rsid w:val="003F5636"/>
    <w:rsid w:val="003F5897"/>
    <w:rsid w:val="003F5994"/>
    <w:rsid w:val="003F5CB2"/>
    <w:rsid w:val="003F61C4"/>
    <w:rsid w:val="003F6BBE"/>
    <w:rsid w:val="003F6BEA"/>
    <w:rsid w:val="003F774C"/>
    <w:rsid w:val="004000E8"/>
    <w:rsid w:val="00401336"/>
    <w:rsid w:val="00401520"/>
    <w:rsid w:val="00402E2B"/>
    <w:rsid w:val="00404652"/>
    <w:rsid w:val="00404A9D"/>
    <w:rsid w:val="0040512B"/>
    <w:rsid w:val="004051AC"/>
    <w:rsid w:val="0040552A"/>
    <w:rsid w:val="00405CA5"/>
    <w:rsid w:val="00406007"/>
    <w:rsid w:val="0040649D"/>
    <w:rsid w:val="00407CD3"/>
    <w:rsid w:val="00407E60"/>
    <w:rsid w:val="00410134"/>
    <w:rsid w:val="00410B72"/>
    <w:rsid w:val="00410D04"/>
    <w:rsid w:val="00410F18"/>
    <w:rsid w:val="00411306"/>
    <w:rsid w:val="0041263E"/>
    <w:rsid w:val="00412CD3"/>
    <w:rsid w:val="00412F61"/>
    <w:rsid w:val="00413AAC"/>
    <w:rsid w:val="00413E92"/>
    <w:rsid w:val="0041402F"/>
    <w:rsid w:val="004152D2"/>
    <w:rsid w:val="0041643A"/>
    <w:rsid w:val="00416873"/>
    <w:rsid w:val="004175E1"/>
    <w:rsid w:val="0041783C"/>
    <w:rsid w:val="0041795B"/>
    <w:rsid w:val="00420F4A"/>
    <w:rsid w:val="00421105"/>
    <w:rsid w:val="00422AA4"/>
    <w:rsid w:val="00423881"/>
    <w:rsid w:val="004242F4"/>
    <w:rsid w:val="00424F8A"/>
    <w:rsid w:val="00425371"/>
    <w:rsid w:val="00427141"/>
    <w:rsid w:val="00427248"/>
    <w:rsid w:val="0042725D"/>
    <w:rsid w:val="0043048E"/>
    <w:rsid w:val="00430FF5"/>
    <w:rsid w:val="00432122"/>
    <w:rsid w:val="0043285D"/>
    <w:rsid w:val="004333E8"/>
    <w:rsid w:val="004344B9"/>
    <w:rsid w:val="00435CD7"/>
    <w:rsid w:val="004363F7"/>
    <w:rsid w:val="004369A3"/>
    <w:rsid w:val="00436E6E"/>
    <w:rsid w:val="004372B6"/>
    <w:rsid w:val="00437447"/>
    <w:rsid w:val="004375DE"/>
    <w:rsid w:val="004419BE"/>
    <w:rsid w:val="00441A92"/>
    <w:rsid w:val="00441F3E"/>
    <w:rsid w:val="00441FAF"/>
    <w:rsid w:val="00442053"/>
    <w:rsid w:val="0044247B"/>
    <w:rsid w:val="004431DC"/>
    <w:rsid w:val="0044448C"/>
    <w:rsid w:val="00444F56"/>
    <w:rsid w:val="00446488"/>
    <w:rsid w:val="00446726"/>
    <w:rsid w:val="00446C9C"/>
    <w:rsid w:val="00447743"/>
    <w:rsid w:val="00450EFE"/>
    <w:rsid w:val="004517AA"/>
    <w:rsid w:val="00452CAC"/>
    <w:rsid w:val="004539EA"/>
    <w:rsid w:val="00453C2A"/>
    <w:rsid w:val="00457565"/>
    <w:rsid w:val="004579B6"/>
    <w:rsid w:val="00457B71"/>
    <w:rsid w:val="0046052C"/>
    <w:rsid w:val="0046134C"/>
    <w:rsid w:val="00461B94"/>
    <w:rsid w:val="00461F6A"/>
    <w:rsid w:val="00463213"/>
    <w:rsid w:val="00463A2B"/>
    <w:rsid w:val="00463AEA"/>
    <w:rsid w:val="00464689"/>
    <w:rsid w:val="00465AE5"/>
    <w:rsid w:val="004669E2"/>
    <w:rsid w:val="00466E65"/>
    <w:rsid w:val="00470577"/>
    <w:rsid w:val="004708E5"/>
    <w:rsid w:val="00470C31"/>
    <w:rsid w:val="0047116E"/>
    <w:rsid w:val="00471DE0"/>
    <w:rsid w:val="00471F17"/>
    <w:rsid w:val="004734D0"/>
    <w:rsid w:val="00473DE3"/>
    <w:rsid w:val="004754B7"/>
    <w:rsid w:val="0047556B"/>
    <w:rsid w:val="00475AB7"/>
    <w:rsid w:val="00477546"/>
    <w:rsid w:val="00477768"/>
    <w:rsid w:val="00480572"/>
    <w:rsid w:val="00480C26"/>
    <w:rsid w:val="0048133C"/>
    <w:rsid w:val="00482E01"/>
    <w:rsid w:val="00483E45"/>
    <w:rsid w:val="004846ED"/>
    <w:rsid w:val="00484C92"/>
    <w:rsid w:val="00484D54"/>
    <w:rsid w:val="00485923"/>
    <w:rsid w:val="004868FA"/>
    <w:rsid w:val="00487EEF"/>
    <w:rsid w:val="00490E2F"/>
    <w:rsid w:val="00492BC5"/>
    <w:rsid w:val="00492F2D"/>
    <w:rsid w:val="0049367C"/>
    <w:rsid w:val="00493A28"/>
    <w:rsid w:val="00494026"/>
    <w:rsid w:val="00495732"/>
    <w:rsid w:val="0049588F"/>
    <w:rsid w:val="004964F1"/>
    <w:rsid w:val="004A0A2D"/>
    <w:rsid w:val="004A0B85"/>
    <w:rsid w:val="004A16BC"/>
    <w:rsid w:val="004A2028"/>
    <w:rsid w:val="004A275B"/>
    <w:rsid w:val="004A2B94"/>
    <w:rsid w:val="004A4890"/>
    <w:rsid w:val="004A5CA9"/>
    <w:rsid w:val="004A6576"/>
    <w:rsid w:val="004A6DF2"/>
    <w:rsid w:val="004A723F"/>
    <w:rsid w:val="004A7A01"/>
    <w:rsid w:val="004B18C5"/>
    <w:rsid w:val="004B36BF"/>
    <w:rsid w:val="004B4895"/>
    <w:rsid w:val="004B4E57"/>
    <w:rsid w:val="004B5538"/>
    <w:rsid w:val="004B5E62"/>
    <w:rsid w:val="004B627B"/>
    <w:rsid w:val="004B62D2"/>
    <w:rsid w:val="004B6F6A"/>
    <w:rsid w:val="004B7C0C"/>
    <w:rsid w:val="004C3898"/>
    <w:rsid w:val="004C40A0"/>
    <w:rsid w:val="004C48AB"/>
    <w:rsid w:val="004C4E0C"/>
    <w:rsid w:val="004C5310"/>
    <w:rsid w:val="004C74AF"/>
    <w:rsid w:val="004C7E39"/>
    <w:rsid w:val="004D001D"/>
    <w:rsid w:val="004D14CF"/>
    <w:rsid w:val="004D183E"/>
    <w:rsid w:val="004D24B7"/>
    <w:rsid w:val="004D36B1"/>
    <w:rsid w:val="004D3FFF"/>
    <w:rsid w:val="004D4499"/>
    <w:rsid w:val="004D4658"/>
    <w:rsid w:val="004D687D"/>
    <w:rsid w:val="004D7D97"/>
    <w:rsid w:val="004D7EBD"/>
    <w:rsid w:val="004E04CF"/>
    <w:rsid w:val="004E09CB"/>
    <w:rsid w:val="004E2680"/>
    <w:rsid w:val="004E275F"/>
    <w:rsid w:val="004E28F9"/>
    <w:rsid w:val="004E2FD5"/>
    <w:rsid w:val="004E3E3B"/>
    <w:rsid w:val="004E4372"/>
    <w:rsid w:val="004E4450"/>
    <w:rsid w:val="004E462E"/>
    <w:rsid w:val="004E56DC"/>
    <w:rsid w:val="004E5EB2"/>
    <w:rsid w:val="004E6EE6"/>
    <w:rsid w:val="004E76F4"/>
    <w:rsid w:val="004F0A6E"/>
    <w:rsid w:val="004F0ABD"/>
    <w:rsid w:val="004F0B4E"/>
    <w:rsid w:val="004F0B6C"/>
    <w:rsid w:val="004F1193"/>
    <w:rsid w:val="004F12C2"/>
    <w:rsid w:val="004F1DBB"/>
    <w:rsid w:val="004F2078"/>
    <w:rsid w:val="004F2750"/>
    <w:rsid w:val="004F39A4"/>
    <w:rsid w:val="004F3B57"/>
    <w:rsid w:val="004F4299"/>
    <w:rsid w:val="004F49A4"/>
    <w:rsid w:val="004F4DA3"/>
    <w:rsid w:val="004F5B13"/>
    <w:rsid w:val="004F5C5D"/>
    <w:rsid w:val="004F5F78"/>
    <w:rsid w:val="004F732D"/>
    <w:rsid w:val="004F78D6"/>
    <w:rsid w:val="005002AE"/>
    <w:rsid w:val="00502443"/>
    <w:rsid w:val="0050288D"/>
    <w:rsid w:val="00503050"/>
    <w:rsid w:val="005032DE"/>
    <w:rsid w:val="00503CBC"/>
    <w:rsid w:val="00503ED7"/>
    <w:rsid w:val="0050452D"/>
    <w:rsid w:val="00505385"/>
    <w:rsid w:val="0050563F"/>
    <w:rsid w:val="005059D2"/>
    <w:rsid w:val="00506557"/>
    <w:rsid w:val="0050677A"/>
    <w:rsid w:val="005071B7"/>
    <w:rsid w:val="005077DA"/>
    <w:rsid w:val="0050796C"/>
    <w:rsid w:val="00507E1F"/>
    <w:rsid w:val="0051014B"/>
    <w:rsid w:val="00510166"/>
    <w:rsid w:val="005105EC"/>
    <w:rsid w:val="005108D8"/>
    <w:rsid w:val="00510B5B"/>
    <w:rsid w:val="005116F9"/>
    <w:rsid w:val="00511A62"/>
    <w:rsid w:val="005120A2"/>
    <w:rsid w:val="00512C6B"/>
    <w:rsid w:val="00512F91"/>
    <w:rsid w:val="005144B9"/>
    <w:rsid w:val="00514F24"/>
    <w:rsid w:val="00514F45"/>
    <w:rsid w:val="005153A7"/>
    <w:rsid w:val="00516470"/>
    <w:rsid w:val="005171D1"/>
    <w:rsid w:val="005172CB"/>
    <w:rsid w:val="005219CF"/>
    <w:rsid w:val="005227E1"/>
    <w:rsid w:val="00522F55"/>
    <w:rsid w:val="005235BC"/>
    <w:rsid w:val="00527542"/>
    <w:rsid w:val="00530667"/>
    <w:rsid w:val="00530F77"/>
    <w:rsid w:val="00532452"/>
    <w:rsid w:val="00533522"/>
    <w:rsid w:val="00534B59"/>
    <w:rsid w:val="00536759"/>
    <w:rsid w:val="005368B7"/>
    <w:rsid w:val="005371FE"/>
    <w:rsid w:val="00537349"/>
    <w:rsid w:val="005378B3"/>
    <w:rsid w:val="00537C62"/>
    <w:rsid w:val="0054037E"/>
    <w:rsid w:val="00540C5A"/>
    <w:rsid w:val="0054161E"/>
    <w:rsid w:val="00541FCE"/>
    <w:rsid w:val="00542583"/>
    <w:rsid w:val="005438C2"/>
    <w:rsid w:val="00543D02"/>
    <w:rsid w:val="005449BC"/>
    <w:rsid w:val="00544E91"/>
    <w:rsid w:val="005454A7"/>
    <w:rsid w:val="00546127"/>
    <w:rsid w:val="00546970"/>
    <w:rsid w:val="00546A76"/>
    <w:rsid w:val="00547D9D"/>
    <w:rsid w:val="00550995"/>
    <w:rsid w:val="00551DF5"/>
    <w:rsid w:val="00552A2A"/>
    <w:rsid w:val="0055496A"/>
    <w:rsid w:val="00554E19"/>
    <w:rsid w:val="0055521D"/>
    <w:rsid w:val="00555EA0"/>
    <w:rsid w:val="00556D19"/>
    <w:rsid w:val="0055711C"/>
    <w:rsid w:val="00557BC8"/>
    <w:rsid w:val="00557C01"/>
    <w:rsid w:val="0056105D"/>
    <w:rsid w:val="0056121F"/>
    <w:rsid w:val="005616A0"/>
    <w:rsid w:val="005625D4"/>
    <w:rsid w:val="0056308E"/>
    <w:rsid w:val="005637CE"/>
    <w:rsid w:val="005646B8"/>
    <w:rsid w:val="00565B2A"/>
    <w:rsid w:val="005679E3"/>
    <w:rsid w:val="00570A58"/>
    <w:rsid w:val="00570B09"/>
    <w:rsid w:val="00570F55"/>
    <w:rsid w:val="005714F6"/>
    <w:rsid w:val="00572505"/>
    <w:rsid w:val="005726E9"/>
    <w:rsid w:val="00573834"/>
    <w:rsid w:val="00574917"/>
    <w:rsid w:val="005751F8"/>
    <w:rsid w:val="0057610C"/>
    <w:rsid w:val="005761DC"/>
    <w:rsid w:val="00576288"/>
    <w:rsid w:val="005771BA"/>
    <w:rsid w:val="0058036C"/>
    <w:rsid w:val="005805C1"/>
    <w:rsid w:val="005814E9"/>
    <w:rsid w:val="0058173C"/>
    <w:rsid w:val="00582809"/>
    <w:rsid w:val="005833BE"/>
    <w:rsid w:val="00583763"/>
    <w:rsid w:val="00584219"/>
    <w:rsid w:val="005857CE"/>
    <w:rsid w:val="0058586C"/>
    <w:rsid w:val="00585DE5"/>
    <w:rsid w:val="00585E66"/>
    <w:rsid w:val="00586D7C"/>
    <w:rsid w:val="0058798C"/>
    <w:rsid w:val="00587BB9"/>
    <w:rsid w:val="005900BE"/>
    <w:rsid w:val="005900FA"/>
    <w:rsid w:val="0059169A"/>
    <w:rsid w:val="005935A4"/>
    <w:rsid w:val="00594281"/>
    <w:rsid w:val="005948C2"/>
    <w:rsid w:val="00595DCA"/>
    <w:rsid w:val="00596F73"/>
    <w:rsid w:val="005973F5"/>
    <w:rsid w:val="0059779B"/>
    <w:rsid w:val="005A160B"/>
    <w:rsid w:val="005A209A"/>
    <w:rsid w:val="005A2CD6"/>
    <w:rsid w:val="005A3FF9"/>
    <w:rsid w:val="005A453F"/>
    <w:rsid w:val="005A4AB0"/>
    <w:rsid w:val="005A4DC8"/>
    <w:rsid w:val="005A5D27"/>
    <w:rsid w:val="005A662D"/>
    <w:rsid w:val="005A691C"/>
    <w:rsid w:val="005A7D8D"/>
    <w:rsid w:val="005B1258"/>
    <w:rsid w:val="005B1409"/>
    <w:rsid w:val="005B319E"/>
    <w:rsid w:val="005B35B8"/>
    <w:rsid w:val="005B35D7"/>
    <w:rsid w:val="005B392A"/>
    <w:rsid w:val="005B3AA3"/>
    <w:rsid w:val="005B4848"/>
    <w:rsid w:val="005B6F83"/>
    <w:rsid w:val="005B7520"/>
    <w:rsid w:val="005B7BC1"/>
    <w:rsid w:val="005C0C46"/>
    <w:rsid w:val="005C17EC"/>
    <w:rsid w:val="005C3139"/>
    <w:rsid w:val="005C3C7F"/>
    <w:rsid w:val="005C4217"/>
    <w:rsid w:val="005C4FC2"/>
    <w:rsid w:val="005C5A55"/>
    <w:rsid w:val="005C5E25"/>
    <w:rsid w:val="005C6A5F"/>
    <w:rsid w:val="005C74FB"/>
    <w:rsid w:val="005C7F0F"/>
    <w:rsid w:val="005D0213"/>
    <w:rsid w:val="005D0329"/>
    <w:rsid w:val="005D082D"/>
    <w:rsid w:val="005D1602"/>
    <w:rsid w:val="005D1AB1"/>
    <w:rsid w:val="005D1F7F"/>
    <w:rsid w:val="005D2EF1"/>
    <w:rsid w:val="005D554C"/>
    <w:rsid w:val="005D58EE"/>
    <w:rsid w:val="005D5EC3"/>
    <w:rsid w:val="005D62A0"/>
    <w:rsid w:val="005D707C"/>
    <w:rsid w:val="005E02EC"/>
    <w:rsid w:val="005E0A67"/>
    <w:rsid w:val="005E0BD8"/>
    <w:rsid w:val="005E11B8"/>
    <w:rsid w:val="005E29AA"/>
    <w:rsid w:val="005E2A7C"/>
    <w:rsid w:val="005E3565"/>
    <w:rsid w:val="005E385F"/>
    <w:rsid w:val="005E3D35"/>
    <w:rsid w:val="005E3DA2"/>
    <w:rsid w:val="005E599A"/>
    <w:rsid w:val="005E5B81"/>
    <w:rsid w:val="005E7371"/>
    <w:rsid w:val="005E7AC1"/>
    <w:rsid w:val="005E7FFA"/>
    <w:rsid w:val="005F043F"/>
    <w:rsid w:val="005F145E"/>
    <w:rsid w:val="005F16C3"/>
    <w:rsid w:val="005F180B"/>
    <w:rsid w:val="005F1B10"/>
    <w:rsid w:val="005F1F74"/>
    <w:rsid w:val="005F2CB1"/>
    <w:rsid w:val="005F3025"/>
    <w:rsid w:val="005F31A5"/>
    <w:rsid w:val="005F3C11"/>
    <w:rsid w:val="005F443B"/>
    <w:rsid w:val="005F55C9"/>
    <w:rsid w:val="005F5855"/>
    <w:rsid w:val="005F618C"/>
    <w:rsid w:val="005F6E43"/>
    <w:rsid w:val="005F70BD"/>
    <w:rsid w:val="005F7396"/>
    <w:rsid w:val="00602320"/>
    <w:rsid w:val="0060283C"/>
    <w:rsid w:val="00602E8A"/>
    <w:rsid w:val="00602F38"/>
    <w:rsid w:val="00603A61"/>
    <w:rsid w:val="00603A9F"/>
    <w:rsid w:val="00603BC7"/>
    <w:rsid w:val="00603DF7"/>
    <w:rsid w:val="00604C72"/>
    <w:rsid w:val="00604DFD"/>
    <w:rsid w:val="00604F14"/>
    <w:rsid w:val="00605162"/>
    <w:rsid w:val="00605B42"/>
    <w:rsid w:val="00605CC3"/>
    <w:rsid w:val="00605E4A"/>
    <w:rsid w:val="006061D7"/>
    <w:rsid w:val="006066AC"/>
    <w:rsid w:val="00607018"/>
    <w:rsid w:val="006070AD"/>
    <w:rsid w:val="006118B3"/>
    <w:rsid w:val="00611B83"/>
    <w:rsid w:val="00612FCE"/>
    <w:rsid w:val="00613257"/>
    <w:rsid w:val="0061336B"/>
    <w:rsid w:val="00614BB0"/>
    <w:rsid w:val="006157A1"/>
    <w:rsid w:val="00620709"/>
    <w:rsid w:val="0062071A"/>
    <w:rsid w:val="00620A71"/>
    <w:rsid w:val="00620D80"/>
    <w:rsid w:val="00621EE3"/>
    <w:rsid w:val="00622E98"/>
    <w:rsid w:val="006233BF"/>
    <w:rsid w:val="006234A6"/>
    <w:rsid w:val="00623825"/>
    <w:rsid w:val="00623D02"/>
    <w:rsid w:val="006248E8"/>
    <w:rsid w:val="00625BF2"/>
    <w:rsid w:val="00625E83"/>
    <w:rsid w:val="006273E0"/>
    <w:rsid w:val="006276E1"/>
    <w:rsid w:val="00630001"/>
    <w:rsid w:val="006311B3"/>
    <w:rsid w:val="006312F8"/>
    <w:rsid w:val="00631F5E"/>
    <w:rsid w:val="0063284C"/>
    <w:rsid w:val="00632A8A"/>
    <w:rsid w:val="0063306C"/>
    <w:rsid w:val="006345A6"/>
    <w:rsid w:val="00634FD1"/>
    <w:rsid w:val="00635EAC"/>
    <w:rsid w:val="006360A5"/>
    <w:rsid w:val="00636398"/>
    <w:rsid w:val="006368D3"/>
    <w:rsid w:val="006377EC"/>
    <w:rsid w:val="00640D6C"/>
    <w:rsid w:val="0064151F"/>
    <w:rsid w:val="00641533"/>
    <w:rsid w:val="00642078"/>
    <w:rsid w:val="0064208D"/>
    <w:rsid w:val="00642142"/>
    <w:rsid w:val="00642195"/>
    <w:rsid w:val="00642BE2"/>
    <w:rsid w:val="00643475"/>
    <w:rsid w:val="0064362C"/>
    <w:rsid w:val="0064396A"/>
    <w:rsid w:val="00644FA3"/>
    <w:rsid w:val="0064624E"/>
    <w:rsid w:val="0064650A"/>
    <w:rsid w:val="006476A1"/>
    <w:rsid w:val="00650AB9"/>
    <w:rsid w:val="006538D5"/>
    <w:rsid w:val="0065414C"/>
    <w:rsid w:val="00655733"/>
    <w:rsid w:val="00655A6C"/>
    <w:rsid w:val="00655ACD"/>
    <w:rsid w:val="00656A92"/>
    <w:rsid w:val="00656DDE"/>
    <w:rsid w:val="0066011D"/>
    <w:rsid w:val="006607C0"/>
    <w:rsid w:val="006613A6"/>
    <w:rsid w:val="00662660"/>
    <w:rsid w:val="006627A2"/>
    <w:rsid w:val="0066307A"/>
    <w:rsid w:val="006634E6"/>
    <w:rsid w:val="006655EE"/>
    <w:rsid w:val="00665D20"/>
    <w:rsid w:val="006664E0"/>
    <w:rsid w:val="0066716C"/>
    <w:rsid w:val="006671F6"/>
    <w:rsid w:val="00667EE7"/>
    <w:rsid w:val="00670470"/>
    <w:rsid w:val="006706C9"/>
    <w:rsid w:val="006707ED"/>
    <w:rsid w:val="00670922"/>
    <w:rsid w:val="00670BE1"/>
    <w:rsid w:val="006711E9"/>
    <w:rsid w:val="006718F1"/>
    <w:rsid w:val="00671C97"/>
    <w:rsid w:val="0067218F"/>
    <w:rsid w:val="006726F1"/>
    <w:rsid w:val="00673BCA"/>
    <w:rsid w:val="006740DC"/>
    <w:rsid w:val="006741F2"/>
    <w:rsid w:val="00674CC3"/>
    <w:rsid w:val="00675A8E"/>
    <w:rsid w:val="00675C72"/>
    <w:rsid w:val="00675F10"/>
    <w:rsid w:val="00676D97"/>
    <w:rsid w:val="006771F9"/>
    <w:rsid w:val="006776D7"/>
    <w:rsid w:val="006802A7"/>
    <w:rsid w:val="00681003"/>
    <w:rsid w:val="006817C9"/>
    <w:rsid w:val="00681BC7"/>
    <w:rsid w:val="0068245D"/>
    <w:rsid w:val="00683197"/>
    <w:rsid w:val="00683748"/>
    <w:rsid w:val="00683ECE"/>
    <w:rsid w:val="00684348"/>
    <w:rsid w:val="00684840"/>
    <w:rsid w:val="00684FDA"/>
    <w:rsid w:val="0068564C"/>
    <w:rsid w:val="0068612E"/>
    <w:rsid w:val="006862A6"/>
    <w:rsid w:val="00687489"/>
    <w:rsid w:val="00687EAB"/>
    <w:rsid w:val="00690D7B"/>
    <w:rsid w:val="00692069"/>
    <w:rsid w:val="006922D0"/>
    <w:rsid w:val="00692BA9"/>
    <w:rsid w:val="00692EE6"/>
    <w:rsid w:val="00693220"/>
    <w:rsid w:val="00693AF0"/>
    <w:rsid w:val="00693E82"/>
    <w:rsid w:val="00694DCD"/>
    <w:rsid w:val="00695E80"/>
    <w:rsid w:val="00695FC2"/>
    <w:rsid w:val="00696449"/>
    <w:rsid w:val="00696949"/>
    <w:rsid w:val="00697052"/>
    <w:rsid w:val="00697094"/>
    <w:rsid w:val="006972C5"/>
    <w:rsid w:val="006A03B3"/>
    <w:rsid w:val="006A1883"/>
    <w:rsid w:val="006A1CF7"/>
    <w:rsid w:val="006A23B5"/>
    <w:rsid w:val="006A320F"/>
    <w:rsid w:val="006A46FB"/>
    <w:rsid w:val="006A5E28"/>
    <w:rsid w:val="006A6558"/>
    <w:rsid w:val="006A697B"/>
    <w:rsid w:val="006A6B06"/>
    <w:rsid w:val="006A740C"/>
    <w:rsid w:val="006A7AFF"/>
    <w:rsid w:val="006A7E81"/>
    <w:rsid w:val="006B1408"/>
    <w:rsid w:val="006B1816"/>
    <w:rsid w:val="006B1C97"/>
    <w:rsid w:val="006B1D8D"/>
    <w:rsid w:val="006B2099"/>
    <w:rsid w:val="006B2268"/>
    <w:rsid w:val="006B339C"/>
    <w:rsid w:val="006B37DE"/>
    <w:rsid w:val="006B3BEB"/>
    <w:rsid w:val="006B4079"/>
    <w:rsid w:val="006B443E"/>
    <w:rsid w:val="006B4F9A"/>
    <w:rsid w:val="006B50CF"/>
    <w:rsid w:val="006B52BF"/>
    <w:rsid w:val="006B758C"/>
    <w:rsid w:val="006B7858"/>
    <w:rsid w:val="006B7F3A"/>
    <w:rsid w:val="006C03B8"/>
    <w:rsid w:val="006C09A3"/>
    <w:rsid w:val="006C0BD1"/>
    <w:rsid w:val="006C1ECE"/>
    <w:rsid w:val="006C5135"/>
    <w:rsid w:val="006C5EC9"/>
    <w:rsid w:val="006C6059"/>
    <w:rsid w:val="006C61B6"/>
    <w:rsid w:val="006C6C40"/>
    <w:rsid w:val="006C7522"/>
    <w:rsid w:val="006D111E"/>
    <w:rsid w:val="006D1DB6"/>
    <w:rsid w:val="006D3424"/>
    <w:rsid w:val="006D3624"/>
    <w:rsid w:val="006D5A37"/>
    <w:rsid w:val="006D5ABB"/>
    <w:rsid w:val="006D62A0"/>
    <w:rsid w:val="006D62E8"/>
    <w:rsid w:val="006D6F08"/>
    <w:rsid w:val="006D6FEF"/>
    <w:rsid w:val="006D7593"/>
    <w:rsid w:val="006D7A96"/>
    <w:rsid w:val="006D7EE8"/>
    <w:rsid w:val="006E031E"/>
    <w:rsid w:val="006E062C"/>
    <w:rsid w:val="006E0A32"/>
    <w:rsid w:val="006E1A63"/>
    <w:rsid w:val="006E1C82"/>
    <w:rsid w:val="006E28B7"/>
    <w:rsid w:val="006E2A9B"/>
    <w:rsid w:val="006E3310"/>
    <w:rsid w:val="006E3CB3"/>
    <w:rsid w:val="006E4456"/>
    <w:rsid w:val="006E4E39"/>
    <w:rsid w:val="006E565E"/>
    <w:rsid w:val="006E5BCF"/>
    <w:rsid w:val="006E621C"/>
    <w:rsid w:val="006E673D"/>
    <w:rsid w:val="006E6BE9"/>
    <w:rsid w:val="006E7D3B"/>
    <w:rsid w:val="006F1472"/>
    <w:rsid w:val="006F1B70"/>
    <w:rsid w:val="006F1BE2"/>
    <w:rsid w:val="006F1ED0"/>
    <w:rsid w:val="006F28D9"/>
    <w:rsid w:val="006F341D"/>
    <w:rsid w:val="006F385E"/>
    <w:rsid w:val="006F3CDE"/>
    <w:rsid w:val="006F421B"/>
    <w:rsid w:val="006F4533"/>
    <w:rsid w:val="006F53AE"/>
    <w:rsid w:val="006F581A"/>
    <w:rsid w:val="006F58D4"/>
    <w:rsid w:val="006F61C2"/>
    <w:rsid w:val="006F6582"/>
    <w:rsid w:val="006F797C"/>
    <w:rsid w:val="006F7F1D"/>
    <w:rsid w:val="00701558"/>
    <w:rsid w:val="007025F6"/>
    <w:rsid w:val="0070298A"/>
    <w:rsid w:val="00702E16"/>
    <w:rsid w:val="0070346E"/>
    <w:rsid w:val="00704EDB"/>
    <w:rsid w:val="00706101"/>
    <w:rsid w:val="007067D6"/>
    <w:rsid w:val="00707072"/>
    <w:rsid w:val="0070710A"/>
    <w:rsid w:val="00707357"/>
    <w:rsid w:val="0070782A"/>
    <w:rsid w:val="00707915"/>
    <w:rsid w:val="00707D61"/>
    <w:rsid w:val="00707DC2"/>
    <w:rsid w:val="00710189"/>
    <w:rsid w:val="00710C69"/>
    <w:rsid w:val="00711AA1"/>
    <w:rsid w:val="00712287"/>
    <w:rsid w:val="00712772"/>
    <w:rsid w:val="00712980"/>
    <w:rsid w:val="00712BFA"/>
    <w:rsid w:val="0071301A"/>
    <w:rsid w:val="007148D3"/>
    <w:rsid w:val="00714F1F"/>
    <w:rsid w:val="00715B9A"/>
    <w:rsid w:val="0071604D"/>
    <w:rsid w:val="00716565"/>
    <w:rsid w:val="00716E37"/>
    <w:rsid w:val="007171D8"/>
    <w:rsid w:val="007200B3"/>
    <w:rsid w:val="007202C4"/>
    <w:rsid w:val="007208ED"/>
    <w:rsid w:val="00721B32"/>
    <w:rsid w:val="00721D73"/>
    <w:rsid w:val="00722260"/>
    <w:rsid w:val="007223EB"/>
    <w:rsid w:val="00723372"/>
    <w:rsid w:val="00723B62"/>
    <w:rsid w:val="007242A2"/>
    <w:rsid w:val="007257D0"/>
    <w:rsid w:val="00726465"/>
    <w:rsid w:val="00726503"/>
    <w:rsid w:val="00726A18"/>
    <w:rsid w:val="00726EA6"/>
    <w:rsid w:val="00727208"/>
    <w:rsid w:val="00727680"/>
    <w:rsid w:val="0073157A"/>
    <w:rsid w:val="00731BE1"/>
    <w:rsid w:val="007325CD"/>
    <w:rsid w:val="00733A40"/>
    <w:rsid w:val="007348B1"/>
    <w:rsid w:val="007349A7"/>
    <w:rsid w:val="00735BF2"/>
    <w:rsid w:val="007362A6"/>
    <w:rsid w:val="00736D7D"/>
    <w:rsid w:val="00736DE1"/>
    <w:rsid w:val="007372E3"/>
    <w:rsid w:val="00737801"/>
    <w:rsid w:val="007378E8"/>
    <w:rsid w:val="00737D60"/>
    <w:rsid w:val="00740A76"/>
    <w:rsid w:val="00740D89"/>
    <w:rsid w:val="00740E58"/>
    <w:rsid w:val="007445A0"/>
    <w:rsid w:val="00744DB0"/>
    <w:rsid w:val="0074524B"/>
    <w:rsid w:val="00745CF2"/>
    <w:rsid w:val="00746124"/>
    <w:rsid w:val="00747D8B"/>
    <w:rsid w:val="00751228"/>
    <w:rsid w:val="00751E34"/>
    <w:rsid w:val="0075215D"/>
    <w:rsid w:val="00752DA7"/>
    <w:rsid w:val="00752E29"/>
    <w:rsid w:val="007538DC"/>
    <w:rsid w:val="00753DFA"/>
    <w:rsid w:val="007544D5"/>
    <w:rsid w:val="00755042"/>
    <w:rsid w:val="00755232"/>
    <w:rsid w:val="00755F0A"/>
    <w:rsid w:val="007571E1"/>
    <w:rsid w:val="007604B2"/>
    <w:rsid w:val="00760E1E"/>
    <w:rsid w:val="00761242"/>
    <w:rsid w:val="00761726"/>
    <w:rsid w:val="00761DF5"/>
    <w:rsid w:val="00762791"/>
    <w:rsid w:val="007629C1"/>
    <w:rsid w:val="00763584"/>
    <w:rsid w:val="00763667"/>
    <w:rsid w:val="00764409"/>
    <w:rsid w:val="00764762"/>
    <w:rsid w:val="00764F3B"/>
    <w:rsid w:val="007650A4"/>
    <w:rsid w:val="00765281"/>
    <w:rsid w:val="007653E4"/>
    <w:rsid w:val="0076609E"/>
    <w:rsid w:val="00766BAD"/>
    <w:rsid w:val="0076714D"/>
    <w:rsid w:val="0076734C"/>
    <w:rsid w:val="00770469"/>
    <w:rsid w:val="007729A2"/>
    <w:rsid w:val="007729F9"/>
    <w:rsid w:val="007747B3"/>
    <w:rsid w:val="00774F65"/>
    <w:rsid w:val="007755F2"/>
    <w:rsid w:val="00776971"/>
    <w:rsid w:val="007777A5"/>
    <w:rsid w:val="00777F78"/>
    <w:rsid w:val="0078036B"/>
    <w:rsid w:val="007805B9"/>
    <w:rsid w:val="00780A7F"/>
    <w:rsid w:val="00780A80"/>
    <w:rsid w:val="0078177E"/>
    <w:rsid w:val="0078304C"/>
    <w:rsid w:val="00783673"/>
    <w:rsid w:val="00783990"/>
    <w:rsid w:val="00785490"/>
    <w:rsid w:val="00785D09"/>
    <w:rsid w:val="00786812"/>
    <w:rsid w:val="00786AAE"/>
    <w:rsid w:val="00787C81"/>
    <w:rsid w:val="007907D3"/>
    <w:rsid w:val="00790E70"/>
    <w:rsid w:val="007921E0"/>
    <w:rsid w:val="007922BC"/>
    <w:rsid w:val="00792356"/>
    <w:rsid w:val="00792551"/>
    <w:rsid w:val="007925EA"/>
    <w:rsid w:val="00792835"/>
    <w:rsid w:val="00793063"/>
    <w:rsid w:val="00793CD8"/>
    <w:rsid w:val="00793FAB"/>
    <w:rsid w:val="00793FB9"/>
    <w:rsid w:val="00794552"/>
    <w:rsid w:val="00794659"/>
    <w:rsid w:val="0079483A"/>
    <w:rsid w:val="00794E63"/>
    <w:rsid w:val="00795C8B"/>
    <w:rsid w:val="00795C92"/>
    <w:rsid w:val="00796231"/>
    <w:rsid w:val="00797173"/>
    <w:rsid w:val="007A036B"/>
    <w:rsid w:val="007A11DC"/>
    <w:rsid w:val="007A1CB3"/>
    <w:rsid w:val="007A220D"/>
    <w:rsid w:val="007A2B20"/>
    <w:rsid w:val="007A306F"/>
    <w:rsid w:val="007A43A6"/>
    <w:rsid w:val="007A44B6"/>
    <w:rsid w:val="007A5896"/>
    <w:rsid w:val="007A58A6"/>
    <w:rsid w:val="007A66D4"/>
    <w:rsid w:val="007A775F"/>
    <w:rsid w:val="007B0136"/>
    <w:rsid w:val="007B0985"/>
    <w:rsid w:val="007B1951"/>
    <w:rsid w:val="007B23C8"/>
    <w:rsid w:val="007B2469"/>
    <w:rsid w:val="007B2606"/>
    <w:rsid w:val="007B3059"/>
    <w:rsid w:val="007B3406"/>
    <w:rsid w:val="007B3443"/>
    <w:rsid w:val="007B3D2D"/>
    <w:rsid w:val="007B50AE"/>
    <w:rsid w:val="007B51DF"/>
    <w:rsid w:val="007B5328"/>
    <w:rsid w:val="007B7786"/>
    <w:rsid w:val="007B7B1B"/>
    <w:rsid w:val="007C0092"/>
    <w:rsid w:val="007C02E7"/>
    <w:rsid w:val="007C04C1"/>
    <w:rsid w:val="007C05DD"/>
    <w:rsid w:val="007C114E"/>
    <w:rsid w:val="007C1D36"/>
    <w:rsid w:val="007C30D0"/>
    <w:rsid w:val="007C3BC0"/>
    <w:rsid w:val="007C3C9C"/>
    <w:rsid w:val="007C3D18"/>
    <w:rsid w:val="007C5723"/>
    <w:rsid w:val="007C60BF"/>
    <w:rsid w:val="007C6A07"/>
    <w:rsid w:val="007C75A1"/>
    <w:rsid w:val="007C75CA"/>
    <w:rsid w:val="007C77A5"/>
    <w:rsid w:val="007C784D"/>
    <w:rsid w:val="007D04E5"/>
    <w:rsid w:val="007D09F7"/>
    <w:rsid w:val="007D0A02"/>
    <w:rsid w:val="007D2D78"/>
    <w:rsid w:val="007D41E9"/>
    <w:rsid w:val="007D4DAF"/>
    <w:rsid w:val="007D5176"/>
    <w:rsid w:val="007D53F4"/>
    <w:rsid w:val="007D5901"/>
    <w:rsid w:val="007D6C79"/>
    <w:rsid w:val="007D7526"/>
    <w:rsid w:val="007D7D36"/>
    <w:rsid w:val="007E00F4"/>
    <w:rsid w:val="007E05DF"/>
    <w:rsid w:val="007E0E1A"/>
    <w:rsid w:val="007E191E"/>
    <w:rsid w:val="007E1E5D"/>
    <w:rsid w:val="007E29BF"/>
    <w:rsid w:val="007E3947"/>
    <w:rsid w:val="007E435E"/>
    <w:rsid w:val="007E4610"/>
    <w:rsid w:val="007E4715"/>
    <w:rsid w:val="007E505B"/>
    <w:rsid w:val="007E5786"/>
    <w:rsid w:val="007E7091"/>
    <w:rsid w:val="007E753A"/>
    <w:rsid w:val="007F0550"/>
    <w:rsid w:val="007F0AAA"/>
    <w:rsid w:val="007F0D85"/>
    <w:rsid w:val="007F11D5"/>
    <w:rsid w:val="007F1204"/>
    <w:rsid w:val="007F2931"/>
    <w:rsid w:val="007F3578"/>
    <w:rsid w:val="007F392E"/>
    <w:rsid w:val="007F4015"/>
    <w:rsid w:val="007F4025"/>
    <w:rsid w:val="007F5BD2"/>
    <w:rsid w:val="007F5DC2"/>
    <w:rsid w:val="007F5F10"/>
    <w:rsid w:val="007F6BB1"/>
    <w:rsid w:val="007F7640"/>
    <w:rsid w:val="007F7DE8"/>
    <w:rsid w:val="00800CB0"/>
    <w:rsid w:val="0080266B"/>
    <w:rsid w:val="00802DA3"/>
    <w:rsid w:val="00803247"/>
    <w:rsid w:val="00803A42"/>
    <w:rsid w:val="00803BA5"/>
    <w:rsid w:val="00803FAE"/>
    <w:rsid w:val="00805099"/>
    <w:rsid w:val="00805D5E"/>
    <w:rsid w:val="0080605F"/>
    <w:rsid w:val="008075E7"/>
    <w:rsid w:val="00807786"/>
    <w:rsid w:val="00807EB8"/>
    <w:rsid w:val="00807F7B"/>
    <w:rsid w:val="00810D38"/>
    <w:rsid w:val="008112DB"/>
    <w:rsid w:val="00811FCB"/>
    <w:rsid w:val="008126EC"/>
    <w:rsid w:val="008126FA"/>
    <w:rsid w:val="00812893"/>
    <w:rsid w:val="008128A3"/>
    <w:rsid w:val="00813EB0"/>
    <w:rsid w:val="0081427E"/>
    <w:rsid w:val="008145D6"/>
    <w:rsid w:val="0081533B"/>
    <w:rsid w:val="008156D0"/>
    <w:rsid w:val="008158D6"/>
    <w:rsid w:val="008164D3"/>
    <w:rsid w:val="00816DD5"/>
    <w:rsid w:val="0081713E"/>
    <w:rsid w:val="00817196"/>
    <w:rsid w:val="008200BA"/>
    <w:rsid w:val="00820873"/>
    <w:rsid w:val="00821563"/>
    <w:rsid w:val="0082273F"/>
    <w:rsid w:val="008227F2"/>
    <w:rsid w:val="008234FF"/>
    <w:rsid w:val="008235DB"/>
    <w:rsid w:val="00823A34"/>
    <w:rsid w:val="00823E1B"/>
    <w:rsid w:val="00824AB4"/>
    <w:rsid w:val="008255EC"/>
    <w:rsid w:val="00825C42"/>
    <w:rsid w:val="00825C78"/>
    <w:rsid w:val="00825D25"/>
    <w:rsid w:val="00826A7A"/>
    <w:rsid w:val="008279E7"/>
    <w:rsid w:val="00827A66"/>
    <w:rsid w:val="00827D6F"/>
    <w:rsid w:val="00827F68"/>
    <w:rsid w:val="008303CE"/>
    <w:rsid w:val="008313A5"/>
    <w:rsid w:val="0083226B"/>
    <w:rsid w:val="0083226D"/>
    <w:rsid w:val="00833205"/>
    <w:rsid w:val="008339F7"/>
    <w:rsid w:val="00834002"/>
    <w:rsid w:val="00835513"/>
    <w:rsid w:val="00835847"/>
    <w:rsid w:val="00835E60"/>
    <w:rsid w:val="00835EBA"/>
    <w:rsid w:val="00836068"/>
    <w:rsid w:val="00836524"/>
    <w:rsid w:val="00836C73"/>
    <w:rsid w:val="008376AC"/>
    <w:rsid w:val="0084007A"/>
    <w:rsid w:val="008406D6"/>
    <w:rsid w:val="00841994"/>
    <w:rsid w:val="008431A5"/>
    <w:rsid w:val="00843571"/>
    <w:rsid w:val="00843F73"/>
    <w:rsid w:val="008444E8"/>
    <w:rsid w:val="00844E2E"/>
    <w:rsid w:val="00844E80"/>
    <w:rsid w:val="00845451"/>
    <w:rsid w:val="00845A84"/>
    <w:rsid w:val="0084642A"/>
    <w:rsid w:val="00846FE7"/>
    <w:rsid w:val="008505D8"/>
    <w:rsid w:val="00850629"/>
    <w:rsid w:val="00850CBB"/>
    <w:rsid w:val="0085212B"/>
    <w:rsid w:val="008533D0"/>
    <w:rsid w:val="0085340C"/>
    <w:rsid w:val="00854924"/>
    <w:rsid w:val="00855909"/>
    <w:rsid w:val="00855DF0"/>
    <w:rsid w:val="0085648E"/>
    <w:rsid w:val="00856911"/>
    <w:rsid w:val="0086097C"/>
    <w:rsid w:val="0086380B"/>
    <w:rsid w:val="00863A49"/>
    <w:rsid w:val="00864689"/>
    <w:rsid w:val="0086632D"/>
    <w:rsid w:val="008677FD"/>
    <w:rsid w:val="008706D4"/>
    <w:rsid w:val="008707B0"/>
    <w:rsid w:val="00870B35"/>
    <w:rsid w:val="00870B95"/>
    <w:rsid w:val="00870F8A"/>
    <w:rsid w:val="0087122B"/>
    <w:rsid w:val="00871453"/>
    <w:rsid w:val="008719A4"/>
    <w:rsid w:val="00871D23"/>
    <w:rsid w:val="008730BE"/>
    <w:rsid w:val="00873D0D"/>
    <w:rsid w:val="00874312"/>
    <w:rsid w:val="0087437C"/>
    <w:rsid w:val="0087541D"/>
    <w:rsid w:val="0087543B"/>
    <w:rsid w:val="008759E9"/>
    <w:rsid w:val="00875CD7"/>
    <w:rsid w:val="00876B4D"/>
    <w:rsid w:val="00877F0F"/>
    <w:rsid w:val="00877F18"/>
    <w:rsid w:val="00880E6C"/>
    <w:rsid w:val="008812F2"/>
    <w:rsid w:val="00881C72"/>
    <w:rsid w:val="008826F0"/>
    <w:rsid w:val="00883499"/>
    <w:rsid w:val="00884138"/>
    <w:rsid w:val="0088425E"/>
    <w:rsid w:val="0088464C"/>
    <w:rsid w:val="008860B5"/>
    <w:rsid w:val="00886522"/>
    <w:rsid w:val="00886B07"/>
    <w:rsid w:val="00886D4C"/>
    <w:rsid w:val="00887C3A"/>
    <w:rsid w:val="00887E94"/>
    <w:rsid w:val="00890FBA"/>
    <w:rsid w:val="00891484"/>
    <w:rsid w:val="008927F1"/>
    <w:rsid w:val="00893C3E"/>
    <w:rsid w:val="008941E3"/>
    <w:rsid w:val="00894A88"/>
    <w:rsid w:val="00894C1E"/>
    <w:rsid w:val="00895386"/>
    <w:rsid w:val="008954FD"/>
    <w:rsid w:val="00896117"/>
    <w:rsid w:val="00896438"/>
    <w:rsid w:val="00896A62"/>
    <w:rsid w:val="00896E6B"/>
    <w:rsid w:val="00897A1F"/>
    <w:rsid w:val="00897ED8"/>
    <w:rsid w:val="008A0FCC"/>
    <w:rsid w:val="008A152F"/>
    <w:rsid w:val="008A182B"/>
    <w:rsid w:val="008A21FF"/>
    <w:rsid w:val="008A2780"/>
    <w:rsid w:val="008A2A18"/>
    <w:rsid w:val="008A2CE2"/>
    <w:rsid w:val="008A2F57"/>
    <w:rsid w:val="008A3003"/>
    <w:rsid w:val="008A30AC"/>
    <w:rsid w:val="008A4094"/>
    <w:rsid w:val="008A4316"/>
    <w:rsid w:val="008A44B8"/>
    <w:rsid w:val="008A4C89"/>
    <w:rsid w:val="008A51A8"/>
    <w:rsid w:val="008A54B8"/>
    <w:rsid w:val="008A54C7"/>
    <w:rsid w:val="008A63C6"/>
    <w:rsid w:val="008A66D5"/>
    <w:rsid w:val="008A6BAD"/>
    <w:rsid w:val="008A716C"/>
    <w:rsid w:val="008A72AB"/>
    <w:rsid w:val="008A76B9"/>
    <w:rsid w:val="008A77D8"/>
    <w:rsid w:val="008A7936"/>
    <w:rsid w:val="008A7FCE"/>
    <w:rsid w:val="008B0483"/>
    <w:rsid w:val="008B0575"/>
    <w:rsid w:val="008B058C"/>
    <w:rsid w:val="008B097F"/>
    <w:rsid w:val="008B0A9A"/>
    <w:rsid w:val="008B0BFF"/>
    <w:rsid w:val="008B120C"/>
    <w:rsid w:val="008B3ADC"/>
    <w:rsid w:val="008B3AE7"/>
    <w:rsid w:val="008B42F6"/>
    <w:rsid w:val="008B4491"/>
    <w:rsid w:val="008B4A20"/>
    <w:rsid w:val="008B51A0"/>
    <w:rsid w:val="008B592A"/>
    <w:rsid w:val="008B7137"/>
    <w:rsid w:val="008B7932"/>
    <w:rsid w:val="008B7B5C"/>
    <w:rsid w:val="008C01C0"/>
    <w:rsid w:val="008C074A"/>
    <w:rsid w:val="008C0C99"/>
    <w:rsid w:val="008C0D0F"/>
    <w:rsid w:val="008C143D"/>
    <w:rsid w:val="008C2017"/>
    <w:rsid w:val="008C2026"/>
    <w:rsid w:val="008C210A"/>
    <w:rsid w:val="008C2582"/>
    <w:rsid w:val="008C306F"/>
    <w:rsid w:val="008C3AD6"/>
    <w:rsid w:val="008C3B25"/>
    <w:rsid w:val="008C4958"/>
    <w:rsid w:val="008C4BAA"/>
    <w:rsid w:val="008C5C17"/>
    <w:rsid w:val="008C6AE8"/>
    <w:rsid w:val="008C7141"/>
    <w:rsid w:val="008C7573"/>
    <w:rsid w:val="008D00A5"/>
    <w:rsid w:val="008D0511"/>
    <w:rsid w:val="008D0C0E"/>
    <w:rsid w:val="008D0E4D"/>
    <w:rsid w:val="008D1653"/>
    <w:rsid w:val="008D2B4D"/>
    <w:rsid w:val="008D34F1"/>
    <w:rsid w:val="008D3537"/>
    <w:rsid w:val="008D39D8"/>
    <w:rsid w:val="008D480C"/>
    <w:rsid w:val="008D48A7"/>
    <w:rsid w:val="008D6D1A"/>
    <w:rsid w:val="008E065E"/>
    <w:rsid w:val="008E0927"/>
    <w:rsid w:val="008E178D"/>
    <w:rsid w:val="008E1909"/>
    <w:rsid w:val="008E1C93"/>
    <w:rsid w:val="008E1D86"/>
    <w:rsid w:val="008E22E3"/>
    <w:rsid w:val="008E33C9"/>
    <w:rsid w:val="008E366E"/>
    <w:rsid w:val="008E3845"/>
    <w:rsid w:val="008E3E7E"/>
    <w:rsid w:val="008E50FC"/>
    <w:rsid w:val="008E62D9"/>
    <w:rsid w:val="008E769A"/>
    <w:rsid w:val="008E7F25"/>
    <w:rsid w:val="008F0185"/>
    <w:rsid w:val="008F065F"/>
    <w:rsid w:val="008F098D"/>
    <w:rsid w:val="008F09FB"/>
    <w:rsid w:val="008F0B77"/>
    <w:rsid w:val="008F1C4E"/>
    <w:rsid w:val="008F1EAB"/>
    <w:rsid w:val="008F2455"/>
    <w:rsid w:val="008F3272"/>
    <w:rsid w:val="008F33DC"/>
    <w:rsid w:val="008F39D9"/>
    <w:rsid w:val="008F3FB4"/>
    <w:rsid w:val="008F477F"/>
    <w:rsid w:val="008F70A2"/>
    <w:rsid w:val="008F75F8"/>
    <w:rsid w:val="009008C2"/>
    <w:rsid w:val="00900F4C"/>
    <w:rsid w:val="00901264"/>
    <w:rsid w:val="00901334"/>
    <w:rsid w:val="00902350"/>
    <w:rsid w:val="0090336B"/>
    <w:rsid w:val="0090367D"/>
    <w:rsid w:val="00904DC2"/>
    <w:rsid w:val="009053AA"/>
    <w:rsid w:val="00906157"/>
    <w:rsid w:val="00906939"/>
    <w:rsid w:val="009072C0"/>
    <w:rsid w:val="00907D65"/>
    <w:rsid w:val="00910B7D"/>
    <w:rsid w:val="00910B80"/>
    <w:rsid w:val="00911356"/>
    <w:rsid w:val="00911DFB"/>
    <w:rsid w:val="009131B7"/>
    <w:rsid w:val="009139D9"/>
    <w:rsid w:val="00914AD8"/>
    <w:rsid w:val="00914CCD"/>
    <w:rsid w:val="00915009"/>
    <w:rsid w:val="00915320"/>
    <w:rsid w:val="00916079"/>
    <w:rsid w:val="0091635B"/>
    <w:rsid w:val="009167C6"/>
    <w:rsid w:val="00916EE2"/>
    <w:rsid w:val="0091728E"/>
    <w:rsid w:val="00917CE9"/>
    <w:rsid w:val="00917E43"/>
    <w:rsid w:val="0092075B"/>
    <w:rsid w:val="00920BF2"/>
    <w:rsid w:val="00921B7A"/>
    <w:rsid w:val="00922010"/>
    <w:rsid w:val="00922659"/>
    <w:rsid w:val="00922985"/>
    <w:rsid w:val="00925297"/>
    <w:rsid w:val="0092699E"/>
    <w:rsid w:val="00927BED"/>
    <w:rsid w:val="00930746"/>
    <w:rsid w:val="00931251"/>
    <w:rsid w:val="0093156E"/>
    <w:rsid w:val="009316E2"/>
    <w:rsid w:val="00931950"/>
    <w:rsid w:val="00931BD9"/>
    <w:rsid w:val="00931D8A"/>
    <w:rsid w:val="00932688"/>
    <w:rsid w:val="0093281E"/>
    <w:rsid w:val="00933C11"/>
    <w:rsid w:val="0093461F"/>
    <w:rsid w:val="009368F3"/>
    <w:rsid w:val="00937F37"/>
    <w:rsid w:val="009412D0"/>
    <w:rsid w:val="00941636"/>
    <w:rsid w:val="00941B30"/>
    <w:rsid w:val="0094358D"/>
    <w:rsid w:val="00943742"/>
    <w:rsid w:val="00944B8D"/>
    <w:rsid w:val="00945C05"/>
    <w:rsid w:val="00946240"/>
    <w:rsid w:val="00946945"/>
    <w:rsid w:val="00947713"/>
    <w:rsid w:val="009477D5"/>
    <w:rsid w:val="00947D0C"/>
    <w:rsid w:val="00950DE7"/>
    <w:rsid w:val="00951D28"/>
    <w:rsid w:val="00951FD6"/>
    <w:rsid w:val="0095332A"/>
    <w:rsid w:val="00953920"/>
    <w:rsid w:val="00953D47"/>
    <w:rsid w:val="00953D53"/>
    <w:rsid w:val="009549BA"/>
    <w:rsid w:val="009549F0"/>
    <w:rsid w:val="00955A54"/>
    <w:rsid w:val="009561F6"/>
    <w:rsid w:val="0095681E"/>
    <w:rsid w:val="009572D4"/>
    <w:rsid w:val="0095795D"/>
    <w:rsid w:val="00961921"/>
    <w:rsid w:val="00961B6A"/>
    <w:rsid w:val="009628D8"/>
    <w:rsid w:val="00962C88"/>
    <w:rsid w:val="00963249"/>
    <w:rsid w:val="009634E1"/>
    <w:rsid w:val="00963EA4"/>
    <w:rsid w:val="0096430A"/>
    <w:rsid w:val="0096554B"/>
    <w:rsid w:val="0096584A"/>
    <w:rsid w:val="00966521"/>
    <w:rsid w:val="00967197"/>
    <w:rsid w:val="00967AA3"/>
    <w:rsid w:val="0097148B"/>
    <w:rsid w:val="00971673"/>
    <w:rsid w:val="00971C7D"/>
    <w:rsid w:val="00971F08"/>
    <w:rsid w:val="00972849"/>
    <w:rsid w:val="00973A28"/>
    <w:rsid w:val="009751C2"/>
    <w:rsid w:val="0097603D"/>
    <w:rsid w:val="00976949"/>
    <w:rsid w:val="009774A3"/>
    <w:rsid w:val="009775B1"/>
    <w:rsid w:val="00977FB6"/>
    <w:rsid w:val="00980477"/>
    <w:rsid w:val="00981696"/>
    <w:rsid w:val="00981747"/>
    <w:rsid w:val="00984E39"/>
    <w:rsid w:val="00985253"/>
    <w:rsid w:val="009853B3"/>
    <w:rsid w:val="00985AA8"/>
    <w:rsid w:val="00986469"/>
    <w:rsid w:val="009865C2"/>
    <w:rsid w:val="009868CC"/>
    <w:rsid w:val="00986FE6"/>
    <w:rsid w:val="009876C0"/>
    <w:rsid w:val="00990317"/>
    <w:rsid w:val="00990630"/>
    <w:rsid w:val="00990C1D"/>
    <w:rsid w:val="00991761"/>
    <w:rsid w:val="00993492"/>
    <w:rsid w:val="009935F4"/>
    <w:rsid w:val="00994AB7"/>
    <w:rsid w:val="00994DCA"/>
    <w:rsid w:val="00995B89"/>
    <w:rsid w:val="009960EC"/>
    <w:rsid w:val="00996523"/>
    <w:rsid w:val="0099658E"/>
    <w:rsid w:val="009970DD"/>
    <w:rsid w:val="00997881"/>
    <w:rsid w:val="009A0412"/>
    <w:rsid w:val="009A0C3C"/>
    <w:rsid w:val="009A0FBA"/>
    <w:rsid w:val="009A10D9"/>
    <w:rsid w:val="009A1601"/>
    <w:rsid w:val="009A1BE7"/>
    <w:rsid w:val="009A237B"/>
    <w:rsid w:val="009A37BF"/>
    <w:rsid w:val="009A38CB"/>
    <w:rsid w:val="009A3BB6"/>
    <w:rsid w:val="009A3E33"/>
    <w:rsid w:val="009A4558"/>
    <w:rsid w:val="009A462D"/>
    <w:rsid w:val="009A4866"/>
    <w:rsid w:val="009A513B"/>
    <w:rsid w:val="009A5CBA"/>
    <w:rsid w:val="009A66FA"/>
    <w:rsid w:val="009A6C68"/>
    <w:rsid w:val="009A72CE"/>
    <w:rsid w:val="009A7696"/>
    <w:rsid w:val="009B0A28"/>
    <w:rsid w:val="009B1504"/>
    <w:rsid w:val="009B1F30"/>
    <w:rsid w:val="009B24DE"/>
    <w:rsid w:val="009B2557"/>
    <w:rsid w:val="009B2DCC"/>
    <w:rsid w:val="009B349D"/>
    <w:rsid w:val="009B3632"/>
    <w:rsid w:val="009B3705"/>
    <w:rsid w:val="009B3AC2"/>
    <w:rsid w:val="009B44A5"/>
    <w:rsid w:val="009B4D1B"/>
    <w:rsid w:val="009B4DF4"/>
    <w:rsid w:val="009B526D"/>
    <w:rsid w:val="009B52B9"/>
    <w:rsid w:val="009B564E"/>
    <w:rsid w:val="009B6AAD"/>
    <w:rsid w:val="009B6C7A"/>
    <w:rsid w:val="009B704F"/>
    <w:rsid w:val="009B7E87"/>
    <w:rsid w:val="009C0169"/>
    <w:rsid w:val="009C034B"/>
    <w:rsid w:val="009C0469"/>
    <w:rsid w:val="009C065F"/>
    <w:rsid w:val="009C0695"/>
    <w:rsid w:val="009C0D05"/>
    <w:rsid w:val="009C13FC"/>
    <w:rsid w:val="009C199C"/>
    <w:rsid w:val="009C1AD0"/>
    <w:rsid w:val="009C403E"/>
    <w:rsid w:val="009C4BAF"/>
    <w:rsid w:val="009C5C7A"/>
    <w:rsid w:val="009C63AE"/>
    <w:rsid w:val="009C69FF"/>
    <w:rsid w:val="009D0A45"/>
    <w:rsid w:val="009D215B"/>
    <w:rsid w:val="009D266A"/>
    <w:rsid w:val="009D2C10"/>
    <w:rsid w:val="009D30C2"/>
    <w:rsid w:val="009D47A6"/>
    <w:rsid w:val="009D4C13"/>
    <w:rsid w:val="009D4FF0"/>
    <w:rsid w:val="009D50C0"/>
    <w:rsid w:val="009D50DA"/>
    <w:rsid w:val="009D59FD"/>
    <w:rsid w:val="009D671C"/>
    <w:rsid w:val="009D6E13"/>
    <w:rsid w:val="009D703C"/>
    <w:rsid w:val="009D718F"/>
    <w:rsid w:val="009D7779"/>
    <w:rsid w:val="009E068F"/>
    <w:rsid w:val="009E14E0"/>
    <w:rsid w:val="009E1AC1"/>
    <w:rsid w:val="009E1E5A"/>
    <w:rsid w:val="009E1EE1"/>
    <w:rsid w:val="009E2545"/>
    <w:rsid w:val="009E35DB"/>
    <w:rsid w:val="009E3B34"/>
    <w:rsid w:val="009E430B"/>
    <w:rsid w:val="009E47A3"/>
    <w:rsid w:val="009E5C69"/>
    <w:rsid w:val="009E719F"/>
    <w:rsid w:val="009F0176"/>
    <w:rsid w:val="009F078D"/>
    <w:rsid w:val="009F08F3"/>
    <w:rsid w:val="009F18FB"/>
    <w:rsid w:val="009F29BC"/>
    <w:rsid w:val="009F344F"/>
    <w:rsid w:val="009F3841"/>
    <w:rsid w:val="009F3E0A"/>
    <w:rsid w:val="009F3EBA"/>
    <w:rsid w:val="009F4657"/>
    <w:rsid w:val="009F73F3"/>
    <w:rsid w:val="00A00161"/>
    <w:rsid w:val="00A01D90"/>
    <w:rsid w:val="00A0220D"/>
    <w:rsid w:val="00A031D8"/>
    <w:rsid w:val="00A03385"/>
    <w:rsid w:val="00A048A8"/>
    <w:rsid w:val="00A04C61"/>
    <w:rsid w:val="00A04F49"/>
    <w:rsid w:val="00A064C2"/>
    <w:rsid w:val="00A06EE3"/>
    <w:rsid w:val="00A07664"/>
    <w:rsid w:val="00A07AC2"/>
    <w:rsid w:val="00A07F65"/>
    <w:rsid w:val="00A07FD1"/>
    <w:rsid w:val="00A128FF"/>
    <w:rsid w:val="00A13515"/>
    <w:rsid w:val="00A13E54"/>
    <w:rsid w:val="00A1436A"/>
    <w:rsid w:val="00A147E0"/>
    <w:rsid w:val="00A14AA5"/>
    <w:rsid w:val="00A16EA6"/>
    <w:rsid w:val="00A17587"/>
    <w:rsid w:val="00A17F63"/>
    <w:rsid w:val="00A2193B"/>
    <w:rsid w:val="00A21B5A"/>
    <w:rsid w:val="00A21F90"/>
    <w:rsid w:val="00A22E7E"/>
    <w:rsid w:val="00A2351A"/>
    <w:rsid w:val="00A23765"/>
    <w:rsid w:val="00A24660"/>
    <w:rsid w:val="00A259A7"/>
    <w:rsid w:val="00A25CCF"/>
    <w:rsid w:val="00A264A9"/>
    <w:rsid w:val="00A26DCF"/>
    <w:rsid w:val="00A27785"/>
    <w:rsid w:val="00A30187"/>
    <w:rsid w:val="00A30229"/>
    <w:rsid w:val="00A30FF5"/>
    <w:rsid w:val="00A31144"/>
    <w:rsid w:val="00A31914"/>
    <w:rsid w:val="00A33132"/>
    <w:rsid w:val="00A33259"/>
    <w:rsid w:val="00A3426B"/>
    <w:rsid w:val="00A3448A"/>
    <w:rsid w:val="00A352E1"/>
    <w:rsid w:val="00A35A54"/>
    <w:rsid w:val="00A36297"/>
    <w:rsid w:val="00A364A4"/>
    <w:rsid w:val="00A37A8D"/>
    <w:rsid w:val="00A37BA5"/>
    <w:rsid w:val="00A403D2"/>
    <w:rsid w:val="00A40B70"/>
    <w:rsid w:val="00A40F3D"/>
    <w:rsid w:val="00A41DD5"/>
    <w:rsid w:val="00A41DDC"/>
    <w:rsid w:val="00A41E2B"/>
    <w:rsid w:val="00A42620"/>
    <w:rsid w:val="00A42CEA"/>
    <w:rsid w:val="00A432D7"/>
    <w:rsid w:val="00A43D93"/>
    <w:rsid w:val="00A43F06"/>
    <w:rsid w:val="00A44C6C"/>
    <w:rsid w:val="00A451DC"/>
    <w:rsid w:val="00A45B74"/>
    <w:rsid w:val="00A47D3B"/>
    <w:rsid w:val="00A47F4F"/>
    <w:rsid w:val="00A47F6C"/>
    <w:rsid w:val="00A5038B"/>
    <w:rsid w:val="00A51E24"/>
    <w:rsid w:val="00A52C40"/>
    <w:rsid w:val="00A52E1D"/>
    <w:rsid w:val="00A53B05"/>
    <w:rsid w:val="00A54495"/>
    <w:rsid w:val="00A54610"/>
    <w:rsid w:val="00A54F77"/>
    <w:rsid w:val="00A566E5"/>
    <w:rsid w:val="00A56D8E"/>
    <w:rsid w:val="00A56FC2"/>
    <w:rsid w:val="00A5711C"/>
    <w:rsid w:val="00A61499"/>
    <w:rsid w:val="00A623A3"/>
    <w:rsid w:val="00A62A77"/>
    <w:rsid w:val="00A63483"/>
    <w:rsid w:val="00A637F9"/>
    <w:rsid w:val="00A64E73"/>
    <w:rsid w:val="00A657D7"/>
    <w:rsid w:val="00A658A9"/>
    <w:rsid w:val="00A660AC"/>
    <w:rsid w:val="00A6642A"/>
    <w:rsid w:val="00A67E6C"/>
    <w:rsid w:val="00A7097E"/>
    <w:rsid w:val="00A713CB"/>
    <w:rsid w:val="00A71587"/>
    <w:rsid w:val="00A71B99"/>
    <w:rsid w:val="00A728CC"/>
    <w:rsid w:val="00A739D0"/>
    <w:rsid w:val="00A73CFE"/>
    <w:rsid w:val="00A74C05"/>
    <w:rsid w:val="00A75EC0"/>
    <w:rsid w:val="00A761D4"/>
    <w:rsid w:val="00A77C39"/>
    <w:rsid w:val="00A77D73"/>
    <w:rsid w:val="00A77EC4"/>
    <w:rsid w:val="00A80481"/>
    <w:rsid w:val="00A80802"/>
    <w:rsid w:val="00A80BD7"/>
    <w:rsid w:val="00A81064"/>
    <w:rsid w:val="00A81835"/>
    <w:rsid w:val="00A8186A"/>
    <w:rsid w:val="00A82CBD"/>
    <w:rsid w:val="00A83292"/>
    <w:rsid w:val="00A835E5"/>
    <w:rsid w:val="00A8457A"/>
    <w:rsid w:val="00A845CF"/>
    <w:rsid w:val="00A854D5"/>
    <w:rsid w:val="00A85846"/>
    <w:rsid w:val="00A85AEF"/>
    <w:rsid w:val="00A85EC5"/>
    <w:rsid w:val="00A869BC"/>
    <w:rsid w:val="00A90134"/>
    <w:rsid w:val="00A9018C"/>
    <w:rsid w:val="00A91259"/>
    <w:rsid w:val="00A92879"/>
    <w:rsid w:val="00A92C8E"/>
    <w:rsid w:val="00A9442A"/>
    <w:rsid w:val="00A9517F"/>
    <w:rsid w:val="00A9591F"/>
    <w:rsid w:val="00A95AC4"/>
    <w:rsid w:val="00A95F6C"/>
    <w:rsid w:val="00A960BE"/>
    <w:rsid w:val="00A97FAC"/>
    <w:rsid w:val="00AA016F"/>
    <w:rsid w:val="00AA057D"/>
    <w:rsid w:val="00AA09B0"/>
    <w:rsid w:val="00AA13E2"/>
    <w:rsid w:val="00AA1ED6"/>
    <w:rsid w:val="00AA2555"/>
    <w:rsid w:val="00AA51C5"/>
    <w:rsid w:val="00AA51D6"/>
    <w:rsid w:val="00AA5E1C"/>
    <w:rsid w:val="00AA6838"/>
    <w:rsid w:val="00AA6C49"/>
    <w:rsid w:val="00AA77F8"/>
    <w:rsid w:val="00AB00DA"/>
    <w:rsid w:val="00AB00DD"/>
    <w:rsid w:val="00AB0BC8"/>
    <w:rsid w:val="00AB11CA"/>
    <w:rsid w:val="00AB14D9"/>
    <w:rsid w:val="00AB21BD"/>
    <w:rsid w:val="00AB22AD"/>
    <w:rsid w:val="00AB2E49"/>
    <w:rsid w:val="00AB4584"/>
    <w:rsid w:val="00AB4AB8"/>
    <w:rsid w:val="00AB5E83"/>
    <w:rsid w:val="00AB5E93"/>
    <w:rsid w:val="00AB5F92"/>
    <w:rsid w:val="00AB655E"/>
    <w:rsid w:val="00AC007F"/>
    <w:rsid w:val="00AC0287"/>
    <w:rsid w:val="00AC0EAC"/>
    <w:rsid w:val="00AC2E4D"/>
    <w:rsid w:val="00AC2ECD"/>
    <w:rsid w:val="00AC3119"/>
    <w:rsid w:val="00AC3A66"/>
    <w:rsid w:val="00AC4376"/>
    <w:rsid w:val="00AC446D"/>
    <w:rsid w:val="00AC49FB"/>
    <w:rsid w:val="00AC4D2C"/>
    <w:rsid w:val="00AC5A10"/>
    <w:rsid w:val="00AC676A"/>
    <w:rsid w:val="00AC741F"/>
    <w:rsid w:val="00AC74F7"/>
    <w:rsid w:val="00AC755A"/>
    <w:rsid w:val="00AD048B"/>
    <w:rsid w:val="00AD0AA3"/>
    <w:rsid w:val="00AD1A42"/>
    <w:rsid w:val="00AD2CB6"/>
    <w:rsid w:val="00AD2ED0"/>
    <w:rsid w:val="00AD38ED"/>
    <w:rsid w:val="00AD3BFE"/>
    <w:rsid w:val="00AD3F94"/>
    <w:rsid w:val="00AD4A5A"/>
    <w:rsid w:val="00AD5D7A"/>
    <w:rsid w:val="00AD611C"/>
    <w:rsid w:val="00AD61A2"/>
    <w:rsid w:val="00AD62FC"/>
    <w:rsid w:val="00AD6659"/>
    <w:rsid w:val="00AD6688"/>
    <w:rsid w:val="00AD76CE"/>
    <w:rsid w:val="00AD7D99"/>
    <w:rsid w:val="00AD7EE5"/>
    <w:rsid w:val="00AE0E03"/>
    <w:rsid w:val="00AE1C23"/>
    <w:rsid w:val="00AE1E55"/>
    <w:rsid w:val="00AE1E7F"/>
    <w:rsid w:val="00AE2268"/>
    <w:rsid w:val="00AE27AC"/>
    <w:rsid w:val="00AE40E0"/>
    <w:rsid w:val="00AE4DBA"/>
    <w:rsid w:val="00AE4F07"/>
    <w:rsid w:val="00AF11D8"/>
    <w:rsid w:val="00AF1C5D"/>
    <w:rsid w:val="00AF3049"/>
    <w:rsid w:val="00AF42D7"/>
    <w:rsid w:val="00AF467F"/>
    <w:rsid w:val="00AF4829"/>
    <w:rsid w:val="00AF679D"/>
    <w:rsid w:val="00AF6A1D"/>
    <w:rsid w:val="00AF6EBD"/>
    <w:rsid w:val="00AF72D8"/>
    <w:rsid w:val="00AF7A54"/>
    <w:rsid w:val="00B006FE"/>
    <w:rsid w:val="00B007CB"/>
    <w:rsid w:val="00B00E33"/>
    <w:rsid w:val="00B02272"/>
    <w:rsid w:val="00B02AA9"/>
    <w:rsid w:val="00B02E47"/>
    <w:rsid w:val="00B02FA3"/>
    <w:rsid w:val="00B0326A"/>
    <w:rsid w:val="00B04A4D"/>
    <w:rsid w:val="00B04A56"/>
    <w:rsid w:val="00B05084"/>
    <w:rsid w:val="00B051C1"/>
    <w:rsid w:val="00B061F1"/>
    <w:rsid w:val="00B064FF"/>
    <w:rsid w:val="00B07B5F"/>
    <w:rsid w:val="00B1145F"/>
    <w:rsid w:val="00B12562"/>
    <w:rsid w:val="00B12607"/>
    <w:rsid w:val="00B12963"/>
    <w:rsid w:val="00B13A09"/>
    <w:rsid w:val="00B13D4A"/>
    <w:rsid w:val="00B141E9"/>
    <w:rsid w:val="00B14A84"/>
    <w:rsid w:val="00B157F9"/>
    <w:rsid w:val="00B15A1F"/>
    <w:rsid w:val="00B15DCD"/>
    <w:rsid w:val="00B16829"/>
    <w:rsid w:val="00B1754D"/>
    <w:rsid w:val="00B17C7A"/>
    <w:rsid w:val="00B20256"/>
    <w:rsid w:val="00B20A7D"/>
    <w:rsid w:val="00B20D09"/>
    <w:rsid w:val="00B20E4E"/>
    <w:rsid w:val="00B21988"/>
    <w:rsid w:val="00B22B7A"/>
    <w:rsid w:val="00B23049"/>
    <w:rsid w:val="00B238F8"/>
    <w:rsid w:val="00B2491C"/>
    <w:rsid w:val="00B25808"/>
    <w:rsid w:val="00B2598C"/>
    <w:rsid w:val="00B26CD2"/>
    <w:rsid w:val="00B271AA"/>
    <w:rsid w:val="00B2757F"/>
    <w:rsid w:val="00B2763F"/>
    <w:rsid w:val="00B27AAC"/>
    <w:rsid w:val="00B30929"/>
    <w:rsid w:val="00B30C38"/>
    <w:rsid w:val="00B31474"/>
    <w:rsid w:val="00B319C3"/>
    <w:rsid w:val="00B34033"/>
    <w:rsid w:val="00B3477C"/>
    <w:rsid w:val="00B372AA"/>
    <w:rsid w:val="00B375ED"/>
    <w:rsid w:val="00B37C75"/>
    <w:rsid w:val="00B40445"/>
    <w:rsid w:val="00B409E0"/>
    <w:rsid w:val="00B410B4"/>
    <w:rsid w:val="00B41888"/>
    <w:rsid w:val="00B419B0"/>
    <w:rsid w:val="00B423F6"/>
    <w:rsid w:val="00B425EF"/>
    <w:rsid w:val="00B42A68"/>
    <w:rsid w:val="00B42DEA"/>
    <w:rsid w:val="00B45155"/>
    <w:rsid w:val="00B45A52"/>
    <w:rsid w:val="00B46175"/>
    <w:rsid w:val="00B46345"/>
    <w:rsid w:val="00B47136"/>
    <w:rsid w:val="00B509E9"/>
    <w:rsid w:val="00B530D3"/>
    <w:rsid w:val="00B53192"/>
    <w:rsid w:val="00B53927"/>
    <w:rsid w:val="00B548B7"/>
    <w:rsid w:val="00B552DC"/>
    <w:rsid w:val="00B55456"/>
    <w:rsid w:val="00B56879"/>
    <w:rsid w:val="00B56C17"/>
    <w:rsid w:val="00B56CC0"/>
    <w:rsid w:val="00B611C9"/>
    <w:rsid w:val="00B616B0"/>
    <w:rsid w:val="00B618B6"/>
    <w:rsid w:val="00B63E3F"/>
    <w:rsid w:val="00B645B4"/>
    <w:rsid w:val="00B649A0"/>
    <w:rsid w:val="00B664C7"/>
    <w:rsid w:val="00B709B6"/>
    <w:rsid w:val="00B70F1E"/>
    <w:rsid w:val="00B713D8"/>
    <w:rsid w:val="00B71E40"/>
    <w:rsid w:val="00B733E4"/>
    <w:rsid w:val="00B739F6"/>
    <w:rsid w:val="00B74147"/>
    <w:rsid w:val="00B75F21"/>
    <w:rsid w:val="00B762ED"/>
    <w:rsid w:val="00B76878"/>
    <w:rsid w:val="00B76A54"/>
    <w:rsid w:val="00B76AAF"/>
    <w:rsid w:val="00B76C82"/>
    <w:rsid w:val="00B804A4"/>
    <w:rsid w:val="00B80ECE"/>
    <w:rsid w:val="00B815BD"/>
    <w:rsid w:val="00B817B7"/>
    <w:rsid w:val="00B81A6C"/>
    <w:rsid w:val="00B8249B"/>
    <w:rsid w:val="00B82B51"/>
    <w:rsid w:val="00B83237"/>
    <w:rsid w:val="00B83668"/>
    <w:rsid w:val="00B83DC1"/>
    <w:rsid w:val="00B84116"/>
    <w:rsid w:val="00B84250"/>
    <w:rsid w:val="00B85289"/>
    <w:rsid w:val="00B8599C"/>
    <w:rsid w:val="00B85AE0"/>
    <w:rsid w:val="00B85DE5"/>
    <w:rsid w:val="00B87856"/>
    <w:rsid w:val="00B87A64"/>
    <w:rsid w:val="00B90512"/>
    <w:rsid w:val="00B90C14"/>
    <w:rsid w:val="00B90F73"/>
    <w:rsid w:val="00B90FED"/>
    <w:rsid w:val="00B91710"/>
    <w:rsid w:val="00B91F40"/>
    <w:rsid w:val="00B92E7C"/>
    <w:rsid w:val="00B93971"/>
    <w:rsid w:val="00B93B59"/>
    <w:rsid w:val="00B9406A"/>
    <w:rsid w:val="00B94396"/>
    <w:rsid w:val="00B94BD2"/>
    <w:rsid w:val="00B950AF"/>
    <w:rsid w:val="00B95E20"/>
    <w:rsid w:val="00B96A1A"/>
    <w:rsid w:val="00B97CBA"/>
    <w:rsid w:val="00B97E31"/>
    <w:rsid w:val="00BA0145"/>
    <w:rsid w:val="00BA07F9"/>
    <w:rsid w:val="00BA1066"/>
    <w:rsid w:val="00BA1459"/>
    <w:rsid w:val="00BA2280"/>
    <w:rsid w:val="00BA22A4"/>
    <w:rsid w:val="00BA2A08"/>
    <w:rsid w:val="00BA35A2"/>
    <w:rsid w:val="00BA3932"/>
    <w:rsid w:val="00BA4145"/>
    <w:rsid w:val="00BA56D2"/>
    <w:rsid w:val="00BA6460"/>
    <w:rsid w:val="00BA6DA9"/>
    <w:rsid w:val="00BA740E"/>
    <w:rsid w:val="00BA76E0"/>
    <w:rsid w:val="00BB01B5"/>
    <w:rsid w:val="00BB10DB"/>
    <w:rsid w:val="00BB1585"/>
    <w:rsid w:val="00BB1983"/>
    <w:rsid w:val="00BB1AEC"/>
    <w:rsid w:val="00BB266E"/>
    <w:rsid w:val="00BB27C8"/>
    <w:rsid w:val="00BB2A25"/>
    <w:rsid w:val="00BB2DC4"/>
    <w:rsid w:val="00BB5076"/>
    <w:rsid w:val="00BB51E9"/>
    <w:rsid w:val="00BB5D20"/>
    <w:rsid w:val="00BB623A"/>
    <w:rsid w:val="00BB6F91"/>
    <w:rsid w:val="00BB7733"/>
    <w:rsid w:val="00BC0479"/>
    <w:rsid w:val="00BC091A"/>
    <w:rsid w:val="00BC0FDC"/>
    <w:rsid w:val="00BC17A7"/>
    <w:rsid w:val="00BC2348"/>
    <w:rsid w:val="00BC3053"/>
    <w:rsid w:val="00BC3506"/>
    <w:rsid w:val="00BC40BF"/>
    <w:rsid w:val="00BC4169"/>
    <w:rsid w:val="00BC4626"/>
    <w:rsid w:val="00BC4D2E"/>
    <w:rsid w:val="00BC53F9"/>
    <w:rsid w:val="00BC7B52"/>
    <w:rsid w:val="00BD0C21"/>
    <w:rsid w:val="00BD1586"/>
    <w:rsid w:val="00BD2B5F"/>
    <w:rsid w:val="00BD2C66"/>
    <w:rsid w:val="00BD3231"/>
    <w:rsid w:val="00BD48AC"/>
    <w:rsid w:val="00BD5F1A"/>
    <w:rsid w:val="00BE0140"/>
    <w:rsid w:val="00BE1234"/>
    <w:rsid w:val="00BE2FA6"/>
    <w:rsid w:val="00BE311E"/>
    <w:rsid w:val="00BE333F"/>
    <w:rsid w:val="00BE56EE"/>
    <w:rsid w:val="00BE607B"/>
    <w:rsid w:val="00BE67F7"/>
    <w:rsid w:val="00BE6BD2"/>
    <w:rsid w:val="00BE7406"/>
    <w:rsid w:val="00BE7603"/>
    <w:rsid w:val="00BF0A09"/>
    <w:rsid w:val="00BF1A21"/>
    <w:rsid w:val="00BF2B35"/>
    <w:rsid w:val="00BF3279"/>
    <w:rsid w:val="00BF3B7D"/>
    <w:rsid w:val="00BF4AF9"/>
    <w:rsid w:val="00BF5701"/>
    <w:rsid w:val="00BF62A0"/>
    <w:rsid w:val="00BF74C7"/>
    <w:rsid w:val="00C015DA"/>
    <w:rsid w:val="00C015F1"/>
    <w:rsid w:val="00C01F33"/>
    <w:rsid w:val="00C02986"/>
    <w:rsid w:val="00C02CC6"/>
    <w:rsid w:val="00C02E30"/>
    <w:rsid w:val="00C040F7"/>
    <w:rsid w:val="00C0420C"/>
    <w:rsid w:val="00C043BD"/>
    <w:rsid w:val="00C044AB"/>
    <w:rsid w:val="00C04D34"/>
    <w:rsid w:val="00C055F6"/>
    <w:rsid w:val="00C05706"/>
    <w:rsid w:val="00C0582F"/>
    <w:rsid w:val="00C07377"/>
    <w:rsid w:val="00C076D8"/>
    <w:rsid w:val="00C10478"/>
    <w:rsid w:val="00C10F2C"/>
    <w:rsid w:val="00C110C0"/>
    <w:rsid w:val="00C11104"/>
    <w:rsid w:val="00C12107"/>
    <w:rsid w:val="00C12F7C"/>
    <w:rsid w:val="00C14438"/>
    <w:rsid w:val="00C14D4B"/>
    <w:rsid w:val="00C154BB"/>
    <w:rsid w:val="00C22BFE"/>
    <w:rsid w:val="00C22C00"/>
    <w:rsid w:val="00C23212"/>
    <w:rsid w:val="00C23D0A"/>
    <w:rsid w:val="00C24774"/>
    <w:rsid w:val="00C251AF"/>
    <w:rsid w:val="00C2737A"/>
    <w:rsid w:val="00C27382"/>
    <w:rsid w:val="00C279B5"/>
    <w:rsid w:val="00C27C45"/>
    <w:rsid w:val="00C27DF1"/>
    <w:rsid w:val="00C30776"/>
    <w:rsid w:val="00C31298"/>
    <w:rsid w:val="00C316A0"/>
    <w:rsid w:val="00C31E1D"/>
    <w:rsid w:val="00C321C1"/>
    <w:rsid w:val="00C325B4"/>
    <w:rsid w:val="00C332A6"/>
    <w:rsid w:val="00C333C8"/>
    <w:rsid w:val="00C335A1"/>
    <w:rsid w:val="00C33E39"/>
    <w:rsid w:val="00C34F86"/>
    <w:rsid w:val="00C359E7"/>
    <w:rsid w:val="00C3719D"/>
    <w:rsid w:val="00C37B61"/>
    <w:rsid w:val="00C37CB2"/>
    <w:rsid w:val="00C40AFD"/>
    <w:rsid w:val="00C40B7D"/>
    <w:rsid w:val="00C40FC8"/>
    <w:rsid w:val="00C43BEA"/>
    <w:rsid w:val="00C44CFD"/>
    <w:rsid w:val="00C47212"/>
    <w:rsid w:val="00C473A5"/>
    <w:rsid w:val="00C47AB4"/>
    <w:rsid w:val="00C509BD"/>
    <w:rsid w:val="00C51142"/>
    <w:rsid w:val="00C51EE2"/>
    <w:rsid w:val="00C523CB"/>
    <w:rsid w:val="00C5385C"/>
    <w:rsid w:val="00C54995"/>
    <w:rsid w:val="00C54D41"/>
    <w:rsid w:val="00C5541B"/>
    <w:rsid w:val="00C55B22"/>
    <w:rsid w:val="00C56669"/>
    <w:rsid w:val="00C57170"/>
    <w:rsid w:val="00C60090"/>
    <w:rsid w:val="00C60783"/>
    <w:rsid w:val="00C60EA8"/>
    <w:rsid w:val="00C61485"/>
    <w:rsid w:val="00C62F17"/>
    <w:rsid w:val="00C64672"/>
    <w:rsid w:val="00C654E0"/>
    <w:rsid w:val="00C67C7F"/>
    <w:rsid w:val="00C70697"/>
    <w:rsid w:val="00C71134"/>
    <w:rsid w:val="00C71604"/>
    <w:rsid w:val="00C71E8B"/>
    <w:rsid w:val="00C72005"/>
    <w:rsid w:val="00C72093"/>
    <w:rsid w:val="00C72EF4"/>
    <w:rsid w:val="00C7305B"/>
    <w:rsid w:val="00C730AF"/>
    <w:rsid w:val="00C7329F"/>
    <w:rsid w:val="00C73769"/>
    <w:rsid w:val="00C7381C"/>
    <w:rsid w:val="00C740F7"/>
    <w:rsid w:val="00C744FE"/>
    <w:rsid w:val="00C753B3"/>
    <w:rsid w:val="00C75D2F"/>
    <w:rsid w:val="00C75D5E"/>
    <w:rsid w:val="00C767BE"/>
    <w:rsid w:val="00C7689D"/>
    <w:rsid w:val="00C76E3C"/>
    <w:rsid w:val="00C7710E"/>
    <w:rsid w:val="00C80C31"/>
    <w:rsid w:val="00C80C80"/>
    <w:rsid w:val="00C811E7"/>
    <w:rsid w:val="00C81568"/>
    <w:rsid w:val="00C81CA6"/>
    <w:rsid w:val="00C8210E"/>
    <w:rsid w:val="00C82835"/>
    <w:rsid w:val="00C8345B"/>
    <w:rsid w:val="00C85B10"/>
    <w:rsid w:val="00C85FBC"/>
    <w:rsid w:val="00C87354"/>
    <w:rsid w:val="00C87509"/>
    <w:rsid w:val="00C87BA2"/>
    <w:rsid w:val="00C9027A"/>
    <w:rsid w:val="00C90384"/>
    <w:rsid w:val="00C9068E"/>
    <w:rsid w:val="00C90755"/>
    <w:rsid w:val="00C93814"/>
    <w:rsid w:val="00C93C4B"/>
    <w:rsid w:val="00C944AB"/>
    <w:rsid w:val="00C94B2E"/>
    <w:rsid w:val="00C952CA"/>
    <w:rsid w:val="00C959DC"/>
    <w:rsid w:val="00C95B40"/>
    <w:rsid w:val="00C96D86"/>
    <w:rsid w:val="00C96E54"/>
    <w:rsid w:val="00C979E1"/>
    <w:rsid w:val="00C97DE0"/>
    <w:rsid w:val="00CA0194"/>
    <w:rsid w:val="00CA0527"/>
    <w:rsid w:val="00CA112F"/>
    <w:rsid w:val="00CA135C"/>
    <w:rsid w:val="00CA194E"/>
    <w:rsid w:val="00CA1ED8"/>
    <w:rsid w:val="00CA4296"/>
    <w:rsid w:val="00CA4B9D"/>
    <w:rsid w:val="00CA55F7"/>
    <w:rsid w:val="00CA567D"/>
    <w:rsid w:val="00CA650F"/>
    <w:rsid w:val="00CA71F3"/>
    <w:rsid w:val="00CA7D29"/>
    <w:rsid w:val="00CB0641"/>
    <w:rsid w:val="00CB09E9"/>
    <w:rsid w:val="00CB0D00"/>
    <w:rsid w:val="00CB102E"/>
    <w:rsid w:val="00CB1182"/>
    <w:rsid w:val="00CB1185"/>
    <w:rsid w:val="00CB1F63"/>
    <w:rsid w:val="00CB4026"/>
    <w:rsid w:val="00CB45DE"/>
    <w:rsid w:val="00CB51A2"/>
    <w:rsid w:val="00CB7170"/>
    <w:rsid w:val="00CB79E0"/>
    <w:rsid w:val="00CC040E"/>
    <w:rsid w:val="00CC04FB"/>
    <w:rsid w:val="00CC07DA"/>
    <w:rsid w:val="00CC111F"/>
    <w:rsid w:val="00CC182F"/>
    <w:rsid w:val="00CC2011"/>
    <w:rsid w:val="00CC253D"/>
    <w:rsid w:val="00CC3CFA"/>
    <w:rsid w:val="00CC3EA0"/>
    <w:rsid w:val="00CC4089"/>
    <w:rsid w:val="00CC48E7"/>
    <w:rsid w:val="00CC4BBD"/>
    <w:rsid w:val="00CC4CD8"/>
    <w:rsid w:val="00CC6586"/>
    <w:rsid w:val="00CC6BFE"/>
    <w:rsid w:val="00CC7B45"/>
    <w:rsid w:val="00CC7F98"/>
    <w:rsid w:val="00CD0AF3"/>
    <w:rsid w:val="00CD1188"/>
    <w:rsid w:val="00CD212B"/>
    <w:rsid w:val="00CD2BC2"/>
    <w:rsid w:val="00CD2ED1"/>
    <w:rsid w:val="00CD3196"/>
    <w:rsid w:val="00CD337B"/>
    <w:rsid w:val="00CD7343"/>
    <w:rsid w:val="00CE01C3"/>
    <w:rsid w:val="00CE022A"/>
    <w:rsid w:val="00CE0424"/>
    <w:rsid w:val="00CE06A2"/>
    <w:rsid w:val="00CE0E2B"/>
    <w:rsid w:val="00CE149F"/>
    <w:rsid w:val="00CE15FB"/>
    <w:rsid w:val="00CE2407"/>
    <w:rsid w:val="00CE280A"/>
    <w:rsid w:val="00CE2CF0"/>
    <w:rsid w:val="00CE2F25"/>
    <w:rsid w:val="00CE3DCF"/>
    <w:rsid w:val="00CE4D99"/>
    <w:rsid w:val="00CE6068"/>
    <w:rsid w:val="00CE6C75"/>
    <w:rsid w:val="00CE7561"/>
    <w:rsid w:val="00CF1354"/>
    <w:rsid w:val="00CF223C"/>
    <w:rsid w:val="00CF32B3"/>
    <w:rsid w:val="00CF3B1F"/>
    <w:rsid w:val="00CF3BF6"/>
    <w:rsid w:val="00CF3F9C"/>
    <w:rsid w:val="00CF5A7A"/>
    <w:rsid w:val="00CF6185"/>
    <w:rsid w:val="00CF622B"/>
    <w:rsid w:val="00CF625B"/>
    <w:rsid w:val="00CF6695"/>
    <w:rsid w:val="00CF687E"/>
    <w:rsid w:val="00D00184"/>
    <w:rsid w:val="00D00F4C"/>
    <w:rsid w:val="00D01203"/>
    <w:rsid w:val="00D02B5F"/>
    <w:rsid w:val="00D0349B"/>
    <w:rsid w:val="00D04634"/>
    <w:rsid w:val="00D06589"/>
    <w:rsid w:val="00D07296"/>
    <w:rsid w:val="00D07A98"/>
    <w:rsid w:val="00D10249"/>
    <w:rsid w:val="00D10D88"/>
    <w:rsid w:val="00D1106B"/>
    <w:rsid w:val="00D115C3"/>
    <w:rsid w:val="00D11897"/>
    <w:rsid w:val="00D12080"/>
    <w:rsid w:val="00D128E6"/>
    <w:rsid w:val="00D12A05"/>
    <w:rsid w:val="00D13135"/>
    <w:rsid w:val="00D13E4E"/>
    <w:rsid w:val="00D165C0"/>
    <w:rsid w:val="00D16EAF"/>
    <w:rsid w:val="00D17C3C"/>
    <w:rsid w:val="00D21364"/>
    <w:rsid w:val="00D224B5"/>
    <w:rsid w:val="00D2272F"/>
    <w:rsid w:val="00D22AFD"/>
    <w:rsid w:val="00D233CC"/>
    <w:rsid w:val="00D239A7"/>
    <w:rsid w:val="00D23D14"/>
    <w:rsid w:val="00D23F47"/>
    <w:rsid w:val="00D253AE"/>
    <w:rsid w:val="00D25C78"/>
    <w:rsid w:val="00D27A4F"/>
    <w:rsid w:val="00D27DE4"/>
    <w:rsid w:val="00D31C3E"/>
    <w:rsid w:val="00D3230F"/>
    <w:rsid w:val="00D32D33"/>
    <w:rsid w:val="00D3412E"/>
    <w:rsid w:val="00D342CF"/>
    <w:rsid w:val="00D348D4"/>
    <w:rsid w:val="00D35CB8"/>
    <w:rsid w:val="00D361CF"/>
    <w:rsid w:val="00D3686B"/>
    <w:rsid w:val="00D36E71"/>
    <w:rsid w:val="00D374F8"/>
    <w:rsid w:val="00D379B6"/>
    <w:rsid w:val="00D37D87"/>
    <w:rsid w:val="00D4019E"/>
    <w:rsid w:val="00D40B33"/>
    <w:rsid w:val="00D40BC2"/>
    <w:rsid w:val="00D40DC9"/>
    <w:rsid w:val="00D41965"/>
    <w:rsid w:val="00D41A03"/>
    <w:rsid w:val="00D4318F"/>
    <w:rsid w:val="00D438BF"/>
    <w:rsid w:val="00D440F8"/>
    <w:rsid w:val="00D44FCC"/>
    <w:rsid w:val="00D45FDD"/>
    <w:rsid w:val="00D470C6"/>
    <w:rsid w:val="00D479FB"/>
    <w:rsid w:val="00D51D67"/>
    <w:rsid w:val="00D520DF"/>
    <w:rsid w:val="00D52E21"/>
    <w:rsid w:val="00D53245"/>
    <w:rsid w:val="00D533FE"/>
    <w:rsid w:val="00D546FF"/>
    <w:rsid w:val="00D54910"/>
    <w:rsid w:val="00D55AD5"/>
    <w:rsid w:val="00D5615D"/>
    <w:rsid w:val="00D56753"/>
    <w:rsid w:val="00D568F0"/>
    <w:rsid w:val="00D56FD2"/>
    <w:rsid w:val="00D576CA"/>
    <w:rsid w:val="00D579A5"/>
    <w:rsid w:val="00D57DF6"/>
    <w:rsid w:val="00D61239"/>
    <w:rsid w:val="00D615CE"/>
    <w:rsid w:val="00D61AF5"/>
    <w:rsid w:val="00D61E7C"/>
    <w:rsid w:val="00D623AD"/>
    <w:rsid w:val="00D62EC5"/>
    <w:rsid w:val="00D652B5"/>
    <w:rsid w:val="00D66155"/>
    <w:rsid w:val="00D67D4B"/>
    <w:rsid w:val="00D67ED2"/>
    <w:rsid w:val="00D707E1"/>
    <w:rsid w:val="00D708B0"/>
    <w:rsid w:val="00D7107F"/>
    <w:rsid w:val="00D73231"/>
    <w:rsid w:val="00D7385D"/>
    <w:rsid w:val="00D753F5"/>
    <w:rsid w:val="00D77947"/>
    <w:rsid w:val="00D77B1D"/>
    <w:rsid w:val="00D80124"/>
    <w:rsid w:val="00D8021F"/>
    <w:rsid w:val="00D80383"/>
    <w:rsid w:val="00D816C2"/>
    <w:rsid w:val="00D823C6"/>
    <w:rsid w:val="00D8327F"/>
    <w:rsid w:val="00D84DE2"/>
    <w:rsid w:val="00D86B89"/>
    <w:rsid w:val="00D86CA3"/>
    <w:rsid w:val="00D87028"/>
    <w:rsid w:val="00D871CE"/>
    <w:rsid w:val="00D873EB"/>
    <w:rsid w:val="00D87BA7"/>
    <w:rsid w:val="00D9196D"/>
    <w:rsid w:val="00D91B18"/>
    <w:rsid w:val="00D920F5"/>
    <w:rsid w:val="00D926A3"/>
    <w:rsid w:val="00D92982"/>
    <w:rsid w:val="00D93579"/>
    <w:rsid w:val="00D95517"/>
    <w:rsid w:val="00D973FA"/>
    <w:rsid w:val="00DA0CC6"/>
    <w:rsid w:val="00DA0D6F"/>
    <w:rsid w:val="00DA17B9"/>
    <w:rsid w:val="00DA20FF"/>
    <w:rsid w:val="00DA281D"/>
    <w:rsid w:val="00DA305E"/>
    <w:rsid w:val="00DA41EC"/>
    <w:rsid w:val="00DA4608"/>
    <w:rsid w:val="00DA4961"/>
    <w:rsid w:val="00DA5417"/>
    <w:rsid w:val="00DA56E8"/>
    <w:rsid w:val="00DA6285"/>
    <w:rsid w:val="00DB015D"/>
    <w:rsid w:val="00DB038E"/>
    <w:rsid w:val="00DB0A9F"/>
    <w:rsid w:val="00DB0E55"/>
    <w:rsid w:val="00DB109C"/>
    <w:rsid w:val="00DB1554"/>
    <w:rsid w:val="00DB2577"/>
    <w:rsid w:val="00DB377D"/>
    <w:rsid w:val="00DB3CF3"/>
    <w:rsid w:val="00DB4671"/>
    <w:rsid w:val="00DB56E5"/>
    <w:rsid w:val="00DB719F"/>
    <w:rsid w:val="00DC088F"/>
    <w:rsid w:val="00DC1641"/>
    <w:rsid w:val="00DC1EFD"/>
    <w:rsid w:val="00DC1F21"/>
    <w:rsid w:val="00DC2AC2"/>
    <w:rsid w:val="00DC2CF4"/>
    <w:rsid w:val="00DC2D36"/>
    <w:rsid w:val="00DC4117"/>
    <w:rsid w:val="00DC522B"/>
    <w:rsid w:val="00DC53EF"/>
    <w:rsid w:val="00DC7F0F"/>
    <w:rsid w:val="00DD051E"/>
    <w:rsid w:val="00DD059F"/>
    <w:rsid w:val="00DD0C95"/>
    <w:rsid w:val="00DD1750"/>
    <w:rsid w:val="00DD1BB2"/>
    <w:rsid w:val="00DD1C61"/>
    <w:rsid w:val="00DD2467"/>
    <w:rsid w:val="00DD4C19"/>
    <w:rsid w:val="00DD4C7D"/>
    <w:rsid w:val="00DD4DA5"/>
    <w:rsid w:val="00DD562E"/>
    <w:rsid w:val="00DD5DB7"/>
    <w:rsid w:val="00DD6A90"/>
    <w:rsid w:val="00DE10B6"/>
    <w:rsid w:val="00DE10D4"/>
    <w:rsid w:val="00DE1487"/>
    <w:rsid w:val="00DE15B2"/>
    <w:rsid w:val="00DE2A87"/>
    <w:rsid w:val="00DE35CD"/>
    <w:rsid w:val="00DE37CB"/>
    <w:rsid w:val="00DE4336"/>
    <w:rsid w:val="00DE4F41"/>
    <w:rsid w:val="00DE5608"/>
    <w:rsid w:val="00DE58D0"/>
    <w:rsid w:val="00DE654F"/>
    <w:rsid w:val="00DE67B4"/>
    <w:rsid w:val="00DE72AF"/>
    <w:rsid w:val="00DE7E37"/>
    <w:rsid w:val="00DF0109"/>
    <w:rsid w:val="00DF011A"/>
    <w:rsid w:val="00DF0B6E"/>
    <w:rsid w:val="00DF15E0"/>
    <w:rsid w:val="00DF1ACA"/>
    <w:rsid w:val="00DF1C3B"/>
    <w:rsid w:val="00DF238C"/>
    <w:rsid w:val="00DF2BF7"/>
    <w:rsid w:val="00DF37A0"/>
    <w:rsid w:val="00DF406B"/>
    <w:rsid w:val="00DF45A0"/>
    <w:rsid w:val="00DF4672"/>
    <w:rsid w:val="00DF5577"/>
    <w:rsid w:val="00DF57F8"/>
    <w:rsid w:val="00DF61A9"/>
    <w:rsid w:val="00DF72F8"/>
    <w:rsid w:val="00DF7830"/>
    <w:rsid w:val="00DF7FBA"/>
    <w:rsid w:val="00E00FAF"/>
    <w:rsid w:val="00E015DC"/>
    <w:rsid w:val="00E01CA8"/>
    <w:rsid w:val="00E0265F"/>
    <w:rsid w:val="00E04546"/>
    <w:rsid w:val="00E05D56"/>
    <w:rsid w:val="00E06250"/>
    <w:rsid w:val="00E067F8"/>
    <w:rsid w:val="00E072D8"/>
    <w:rsid w:val="00E10280"/>
    <w:rsid w:val="00E10911"/>
    <w:rsid w:val="00E110E7"/>
    <w:rsid w:val="00E11B20"/>
    <w:rsid w:val="00E1229C"/>
    <w:rsid w:val="00E13733"/>
    <w:rsid w:val="00E153BA"/>
    <w:rsid w:val="00E16FC7"/>
    <w:rsid w:val="00E17538"/>
    <w:rsid w:val="00E17FA2"/>
    <w:rsid w:val="00E2202E"/>
    <w:rsid w:val="00E220CF"/>
    <w:rsid w:val="00E22330"/>
    <w:rsid w:val="00E2364D"/>
    <w:rsid w:val="00E23908"/>
    <w:rsid w:val="00E23FF1"/>
    <w:rsid w:val="00E24392"/>
    <w:rsid w:val="00E2470A"/>
    <w:rsid w:val="00E24977"/>
    <w:rsid w:val="00E252A0"/>
    <w:rsid w:val="00E2532D"/>
    <w:rsid w:val="00E303B9"/>
    <w:rsid w:val="00E307AE"/>
    <w:rsid w:val="00E30A7B"/>
    <w:rsid w:val="00E30B5A"/>
    <w:rsid w:val="00E3123D"/>
    <w:rsid w:val="00E31461"/>
    <w:rsid w:val="00E3159D"/>
    <w:rsid w:val="00E31D43"/>
    <w:rsid w:val="00E32608"/>
    <w:rsid w:val="00E3291C"/>
    <w:rsid w:val="00E329EF"/>
    <w:rsid w:val="00E32C50"/>
    <w:rsid w:val="00E34188"/>
    <w:rsid w:val="00E34B6E"/>
    <w:rsid w:val="00E353DF"/>
    <w:rsid w:val="00E35559"/>
    <w:rsid w:val="00E37126"/>
    <w:rsid w:val="00E3723A"/>
    <w:rsid w:val="00E37318"/>
    <w:rsid w:val="00E3770B"/>
    <w:rsid w:val="00E37860"/>
    <w:rsid w:val="00E378B1"/>
    <w:rsid w:val="00E41229"/>
    <w:rsid w:val="00E41B17"/>
    <w:rsid w:val="00E42123"/>
    <w:rsid w:val="00E42A8E"/>
    <w:rsid w:val="00E446F1"/>
    <w:rsid w:val="00E4585B"/>
    <w:rsid w:val="00E46886"/>
    <w:rsid w:val="00E47588"/>
    <w:rsid w:val="00E47AEF"/>
    <w:rsid w:val="00E51009"/>
    <w:rsid w:val="00E5108D"/>
    <w:rsid w:val="00E524EB"/>
    <w:rsid w:val="00E529FB"/>
    <w:rsid w:val="00E52ED8"/>
    <w:rsid w:val="00E53B75"/>
    <w:rsid w:val="00E5406D"/>
    <w:rsid w:val="00E54134"/>
    <w:rsid w:val="00E54205"/>
    <w:rsid w:val="00E54903"/>
    <w:rsid w:val="00E54E3B"/>
    <w:rsid w:val="00E55BAB"/>
    <w:rsid w:val="00E57565"/>
    <w:rsid w:val="00E57BE1"/>
    <w:rsid w:val="00E60C6A"/>
    <w:rsid w:val="00E61395"/>
    <w:rsid w:val="00E61469"/>
    <w:rsid w:val="00E614C3"/>
    <w:rsid w:val="00E62493"/>
    <w:rsid w:val="00E63838"/>
    <w:rsid w:val="00E63C49"/>
    <w:rsid w:val="00E64434"/>
    <w:rsid w:val="00E64A45"/>
    <w:rsid w:val="00E64BD4"/>
    <w:rsid w:val="00E67C51"/>
    <w:rsid w:val="00E70032"/>
    <w:rsid w:val="00E700EB"/>
    <w:rsid w:val="00E71328"/>
    <w:rsid w:val="00E71337"/>
    <w:rsid w:val="00E71526"/>
    <w:rsid w:val="00E716A9"/>
    <w:rsid w:val="00E71BFA"/>
    <w:rsid w:val="00E72688"/>
    <w:rsid w:val="00E72EFC"/>
    <w:rsid w:val="00E745FB"/>
    <w:rsid w:val="00E74E36"/>
    <w:rsid w:val="00E74E53"/>
    <w:rsid w:val="00E7547B"/>
    <w:rsid w:val="00E758EC"/>
    <w:rsid w:val="00E75952"/>
    <w:rsid w:val="00E76E7C"/>
    <w:rsid w:val="00E77550"/>
    <w:rsid w:val="00E80C37"/>
    <w:rsid w:val="00E813A8"/>
    <w:rsid w:val="00E81FCA"/>
    <w:rsid w:val="00E8234C"/>
    <w:rsid w:val="00E82550"/>
    <w:rsid w:val="00E834C3"/>
    <w:rsid w:val="00E83AA9"/>
    <w:rsid w:val="00E8413A"/>
    <w:rsid w:val="00E84BEE"/>
    <w:rsid w:val="00E85928"/>
    <w:rsid w:val="00E85D41"/>
    <w:rsid w:val="00E86427"/>
    <w:rsid w:val="00E86763"/>
    <w:rsid w:val="00E87822"/>
    <w:rsid w:val="00E90395"/>
    <w:rsid w:val="00E90971"/>
    <w:rsid w:val="00E90E49"/>
    <w:rsid w:val="00E917F9"/>
    <w:rsid w:val="00E91AC9"/>
    <w:rsid w:val="00E91B7E"/>
    <w:rsid w:val="00E91E25"/>
    <w:rsid w:val="00E9291C"/>
    <w:rsid w:val="00E93EA5"/>
    <w:rsid w:val="00E93FFE"/>
    <w:rsid w:val="00E9438F"/>
    <w:rsid w:val="00E9475A"/>
    <w:rsid w:val="00E94F8A"/>
    <w:rsid w:val="00E95310"/>
    <w:rsid w:val="00E954FD"/>
    <w:rsid w:val="00E95FFC"/>
    <w:rsid w:val="00E97E9D"/>
    <w:rsid w:val="00EA17D4"/>
    <w:rsid w:val="00EA1CCA"/>
    <w:rsid w:val="00EA6055"/>
    <w:rsid w:val="00EA66A0"/>
    <w:rsid w:val="00EA7432"/>
    <w:rsid w:val="00EA7477"/>
    <w:rsid w:val="00EA7A41"/>
    <w:rsid w:val="00EA7D6A"/>
    <w:rsid w:val="00EB077B"/>
    <w:rsid w:val="00EB106E"/>
    <w:rsid w:val="00EB1A82"/>
    <w:rsid w:val="00EB1AE6"/>
    <w:rsid w:val="00EB1D4C"/>
    <w:rsid w:val="00EB40C8"/>
    <w:rsid w:val="00EB4964"/>
    <w:rsid w:val="00EB4EA2"/>
    <w:rsid w:val="00EB5A7F"/>
    <w:rsid w:val="00EB6573"/>
    <w:rsid w:val="00EB68AF"/>
    <w:rsid w:val="00EB6CAB"/>
    <w:rsid w:val="00EC0314"/>
    <w:rsid w:val="00EC05E3"/>
    <w:rsid w:val="00EC0EFB"/>
    <w:rsid w:val="00EC111B"/>
    <w:rsid w:val="00EC139D"/>
    <w:rsid w:val="00EC1426"/>
    <w:rsid w:val="00EC1F16"/>
    <w:rsid w:val="00EC22EA"/>
    <w:rsid w:val="00EC24D5"/>
    <w:rsid w:val="00EC27C6"/>
    <w:rsid w:val="00EC28C0"/>
    <w:rsid w:val="00EC3360"/>
    <w:rsid w:val="00EC3B01"/>
    <w:rsid w:val="00EC4207"/>
    <w:rsid w:val="00EC5653"/>
    <w:rsid w:val="00EC589F"/>
    <w:rsid w:val="00EC71CE"/>
    <w:rsid w:val="00EC7997"/>
    <w:rsid w:val="00ED05C6"/>
    <w:rsid w:val="00ED07EE"/>
    <w:rsid w:val="00ED1006"/>
    <w:rsid w:val="00ED19BD"/>
    <w:rsid w:val="00ED1DA6"/>
    <w:rsid w:val="00ED2B58"/>
    <w:rsid w:val="00ED3638"/>
    <w:rsid w:val="00ED424F"/>
    <w:rsid w:val="00ED558A"/>
    <w:rsid w:val="00ED5B2F"/>
    <w:rsid w:val="00ED61F5"/>
    <w:rsid w:val="00ED6B8B"/>
    <w:rsid w:val="00ED6E6A"/>
    <w:rsid w:val="00ED7601"/>
    <w:rsid w:val="00EE0980"/>
    <w:rsid w:val="00EE16FF"/>
    <w:rsid w:val="00EE5C24"/>
    <w:rsid w:val="00EE5E5B"/>
    <w:rsid w:val="00EE6011"/>
    <w:rsid w:val="00EE62B9"/>
    <w:rsid w:val="00EE6863"/>
    <w:rsid w:val="00EE6B70"/>
    <w:rsid w:val="00EF0A84"/>
    <w:rsid w:val="00EF18FE"/>
    <w:rsid w:val="00EF269B"/>
    <w:rsid w:val="00EF2810"/>
    <w:rsid w:val="00EF3176"/>
    <w:rsid w:val="00EF389D"/>
    <w:rsid w:val="00EF3DA6"/>
    <w:rsid w:val="00EF467A"/>
    <w:rsid w:val="00EF5787"/>
    <w:rsid w:val="00EF5788"/>
    <w:rsid w:val="00EF5A79"/>
    <w:rsid w:val="00EF60D0"/>
    <w:rsid w:val="00EF61E6"/>
    <w:rsid w:val="00EF74D9"/>
    <w:rsid w:val="00EF7769"/>
    <w:rsid w:val="00F001DB"/>
    <w:rsid w:val="00F00CD7"/>
    <w:rsid w:val="00F01996"/>
    <w:rsid w:val="00F02E3D"/>
    <w:rsid w:val="00F02F3D"/>
    <w:rsid w:val="00F03143"/>
    <w:rsid w:val="00F0357A"/>
    <w:rsid w:val="00F036B5"/>
    <w:rsid w:val="00F03FA6"/>
    <w:rsid w:val="00F0528D"/>
    <w:rsid w:val="00F0528F"/>
    <w:rsid w:val="00F05319"/>
    <w:rsid w:val="00F0540A"/>
    <w:rsid w:val="00F059C1"/>
    <w:rsid w:val="00F060FF"/>
    <w:rsid w:val="00F0674C"/>
    <w:rsid w:val="00F06A3C"/>
    <w:rsid w:val="00F06C67"/>
    <w:rsid w:val="00F06DFD"/>
    <w:rsid w:val="00F06EFE"/>
    <w:rsid w:val="00F071D1"/>
    <w:rsid w:val="00F07533"/>
    <w:rsid w:val="00F077D6"/>
    <w:rsid w:val="00F07F20"/>
    <w:rsid w:val="00F10629"/>
    <w:rsid w:val="00F115D2"/>
    <w:rsid w:val="00F1219F"/>
    <w:rsid w:val="00F12440"/>
    <w:rsid w:val="00F143A8"/>
    <w:rsid w:val="00F1450C"/>
    <w:rsid w:val="00F15442"/>
    <w:rsid w:val="00F15471"/>
    <w:rsid w:val="00F15FA5"/>
    <w:rsid w:val="00F16535"/>
    <w:rsid w:val="00F209B7"/>
    <w:rsid w:val="00F224D9"/>
    <w:rsid w:val="00F227D3"/>
    <w:rsid w:val="00F2376F"/>
    <w:rsid w:val="00F243D8"/>
    <w:rsid w:val="00F269BD"/>
    <w:rsid w:val="00F26E2E"/>
    <w:rsid w:val="00F30828"/>
    <w:rsid w:val="00F30DFC"/>
    <w:rsid w:val="00F313D6"/>
    <w:rsid w:val="00F327E6"/>
    <w:rsid w:val="00F33C68"/>
    <w:rsid w:val="00F34FC4"/>
    <w:rsid w:val="00F35156"/>
    <w:rsid w:val="00F35443"/>
    <w:rsid w:val="00F358C5"/>
    <w:rsid w:val="00F35A72"/>
    <w:rsid w:val="00F35CC8"/>
    <w:rsid w:val="00F35EBC"/>
    <w:rsid w:val="00F3663D"/>
    <w:rsid w:val="00F36EFD"/>
    <w:rsid w:val="00F37003"/>
    <w:rsid w:val="00F37774"/>
    <w:rsid w:val="00F40086"/>
    <w:rsid w:val="00F40CA5"/>
    <w:rsid w:val="00F40F0C"/>
    <w:rsid w:val="00F40F99"/>
    <w:rsid w:val="00F412A5"/>
    <w:rsid w:val="00F416D6"/>
    <w:rsid w:val="00F42CBE"/>
    <w:rsid w:val="00F4302A"/>
    <w:rsid w:val="00F431E6"/>
    <w:rsid w:val="00F4374B"/>
    <w:rsid w:val="00F448AB"/>
    <w:rsid w:val="00F45FD2"/>
    <w:rsid w:val="00F4703D"/>
    <w:rsid w:val="00F4766C"/>
    <w:rsid w:val="00F5060E"/>
    <w:rsid w:val="00F507D1"/>
    <w:rsid w:val="00F519CE"/>
    <w:rsid w:val="00F51ADA"/>
    <w:rsid w:val="00F53EA4"/>
    <w:rsid w:val="00F542CA"/>
    <w:rsid w:val="00F546FE"/>
    <w:rsid w:val="00F54897"/>
    <w:rsid w:val="00F55FA7"/>
    <w:rsid w:val="00F560C1"/>
    <w:rsid w:val="00F56737"/>
    <w:rsid w:val="00F574CF"/>
    <w:rsid w:val="00F57E0F"/>
    <w:rsid w:val="00F60203"/>
    <w:rsid w:val="00F607C5"/>
    <w:rsid w:val="00F60DEA"/>
    <w:rsid w:val="00F61452"/>
    <w:rsid w:val="00F61B22"/>
    <w:rsid w:val="00F623E5"/>
    <w:rsid w:val="00F629E1"/>
    <w:rsid w:val="00F62AB9"/>
    <w:rsid w:val="00F6302A"/>
    <w:rsid w:val="00F63950"/>
    <w:rsid w:val="00F64C2B"/>
    <w:rsid w:val="00F651BE"/>
    <w:rsid w:val="00F65FAC"/>
    <w:rsid w:val="00F66037"/>
    <w:rsid w:val="00F67F53"/>
    <w:rsid w:val="00F703BE"/>
    <w:rsid w:val="00F71214"/>
    <w:rsid w:val="00F71348"/>
    <w:rsid w:val="00F71F69"/>
    <w:rsid w:val="00F72257"/>
    <w:rsid w:val="00F72949"/>
    <w:rsid w:val="00F72B72"/>
    <w:rsid w:val="00F744D5"/>
    <w:rsid w:val="00F74BB9"/>
    <w:rsid w:val="00F751EF"/>
    <w:rsid w:val="00F75582"/>
    <w:rsid w:val="00F755AE"/>
    <w:rsid w:val="00F765F3"/>
    <w:rsid w:val="00F76EFA"/>
    <w:rsid w:val="00F76FBF"/>
    <w:rsid w:val="00F77291"/>
    <w:rsid w:val="00F77763"/>
    <w:rsid w:val="00F777C7"/>
    <w:rsid w:val="00F801E5"/>
    <w:rsid w:val="00F804AD"/>
    <w:rsid w:val="00F804BE"/>
    <w:rsid w:val="00F817CE"/>
    <w:rsid w:val="00F8336B"/>
    <w:rsid w:val="00F83DB6"/>
    <w:rsid w:val="00F84282"/>
    <w:rsid w:val="00F84294"/>
    <w:rsid w:val="00F8456C"/>
    <w:rsid w:val="00F859D8"/>
    <w:rsid w:val="00F8634C"/>
    <w:rsid w:val="00F86355"/>
    <w:rsid w:val="00F868F5"/>
    <w:rsid w:val="00F877B6"/>
    <w:rsid w:val="00F9056A"/>
    <w:rsid w:val="00F90F8D"/>
    <w:rsid w:val="00F9148D"/>
    <w:rsid w:val="00F91E52"/>
    <w:rsid w:val="00F922A5"/>
    <w:rsid w:val="00F92782"/>
    <w:rsid w:val="00F9333D"/>
    <w:rsid w:val="00F93AA9"/>
    <w:rsid w:val="00F93FE9"/>
    <w:rsid w:val="00F94373"/>
    <w:rsid w:val="00F948AE"/>
    <w:rsid w:val="00F95964"/>
    <w:rsid w:val="00F95A27"/>
    <w:rsid w:val="00F96147"/>
    <w:rsid w:val="00F9636A"/>
    <w:rsid w:val="00F96985"/>
    <w:rsid w:val="00F97838"/>
    <w:rsid w:val="00F97D7C"/>
    <w:rsid w:val="00F97DC8"/>
    <w:rsid w:val="00FA0AFE"/>
    <w:rsid w:val="00FA0BC9"/>
    <w:rsid w:val="00FA16E2"/>
    <w:rsid w:val="00FA17ED"/>
    <w:rsid w:val="00FA203E"/>
    <w:rsid w:val="00FA2BB3"/>
    <w:rsid w:val="00FA43D8"/>
    <w:rsid w:val="00FA4A30"/>
    <w:rsid w:val="00FA5B87"/>
    <w:rsid w:val="00FA5EFF"/>
    <w:rsid w:val="00FA6496"/>
    <w:rsid w:val="00FA7B13"/>
    <w:rsid w:val="00FB0594"/>
    <w:rsid w:val="00FB0805"/>
    <w:rsid w:val="00FB1483"/>
    <w:rsid w:val="00FB2618"/>
    <w:rsid w:val="00FB3513"/>
    <w:rsid w:val="00FB403A"/>
    <w:rsid w:val="00FB46D9"/>
    <w:rsid w:val="00FB4C14"/>
    <w:rsid w:val="00FB4C80"/>
    <w:rsid w:val="00FB5792"/>
    <w:rsid w:val="00FB5E0B"/>
    <w:rsid w:val="00FB6370"/>
    <w:rsid w:val="00FB6A6A"/>
    <w:rsid w:val="00FB7136"/>
    <w:rsid w:val="00FB7E16"/>
    <w:rsid w:val="00FC00A7"/>
    <w:rsid w:val="00FC23DB"/>
    <w:rsid w:val="00FC36C6"/>
    <w:rsid w:val="00FC4F2A"/>
    <w:rsid w:val="00FC5F7D"/>
    <w:rsid w:val="00FC7103"/>
    <w:rsid w:val="00FC7253"/>
    <w:rsid w:val="00FC7429"/>
    <w:rsid w:val="00FC7795"/>
    <w:rsid w:val="00FD07F6"/>
    <w:rsid w:val="00FD1EC8"/>
    <w:rsid w:val="00FD47ED"/>
    <w:rsid w:val="00FD55E5"/>
    <w:rsid w:val="00FD5F4A"/>
    <w:rsid w:val="00FD6834"/>
    <w:rsid w:val="00FD74DB"/>
    <w:rsid w:val="00FD7660"/>
    <w:rsid w:val="00FD7B8A"/>
    <w:rsid w:val="00FE0655"/>
    <w:rsid w:val="00FE2365"/>
    <w:rsid w:val="00FE2CFA"/>
    <w:rsid w:val="00FE3184"/>
    <w:rsid w:val="00FE37D7"/>
    <w:rsid w:val="00FE4C7B"/>
    <w:rsid w:val="00FE4DDD"/>
    <w:rsid w:val="00FE560F"/>
    <w:rsid w:val="00FE58EE"/>
    <w:rsid w:val="00FE5A5C"/>
    <w:rsid w:val="00FE5E34"/>
    <w:rsid w:val="00FE7336"/>
    <w:rsid w:val="00FE787C"/>
    <w:rsid w:val="00FE7F37"/>
    <w:rsid w:val="00FF0129"/>
    <w:rsid w:val="00FF4322"/>
    <w:rsid w:val="00FF438E"/>
    <w:rsid w:val="00FF4488"/>
    <w:rsid w:val="00FF45A5"/>
    <w:rsid w:val="00FF472E"/>
    <w:rsid w:val="00FF525B"/>
    <w:rsid w:val="00FF5B8F"/>
    <w:rsid w:val="00FF5C77"/>
    <w:rsid w:val="00FF5C91"/>
    <w:rsid w:val="00FF67A0"/>
    <w:rsid w:val="00FF6B3C"/>
    <w:rsid w:val="00FF7007"/>
    <w:rsid w:val="00FF784B"/>
    <w:rsid w:val="0119CE43"/>
    <w:rsid w:val="0121B9F3"/>
    <w:rsid w:val="013820A4"/>
    <w:rsid w:val="02ABB7C0"/>
    <w:rsid w:val="0305C23F"/>
    <w:rsid w:val="03C74F51"/>
    <w:rsid w:val="04575D18"/>
    <w:rsid w:val="0519953C"/>
    <w:rsid w:val="052BE2A0"/>
    <w:rsid w:val="059577EE"/>
    <w:rsid w:val="05D0F9AF"/>
    <w:rsid w:val="070E0FF9"/>
    <w:rsid w:val="08012B56"/>
    <w:rsid w:val="09554026"/>
    <w:rsid w:val="09E3EAE4"/>
    <w:rsid w:val="09E64EF9"/>
    <w:rsid w:val="0A2914A4"/>
    <w:rsid w:val="0AEB4F0B"/>
    <w:rsid w:val="0B2CE37E"/>
    <w:rsid w:val="0B4678FF"/>
    <w:rsid w:val="0D116064"/>
    <w:rsid w:val="0D540B00"/>
    <w:rsid w:val="0D84C943"/>
    <w:rsid w:val="0EE1F0AA"/>
    <w:rsid w:val="0F31D93B"/>
    <w:rsid w:val="0F4EA957"/>
    <w:rsid w:val="10314C17"/>
    <w:rsid w:val="104DD810"/>
    <w:rsid w:val="13B99114"/>
    <w:rsid w:val="13C70D45"/>
    <w:rsid w:val="16E326AA"/>
    <w:rsid w:val="1711EA94"/>
    <w:rsid w:val="177C2450"/>
    <w:rsid w:val="17ED1425"/>
    <w:rsid w:val="181CDCAB"/>
    <w:rsid w:val="193E3394"/>
    <w:rsid w:val="1B2AFD8A"/>
    <w:rsid w:val="1BD0EC6E"/>
    <w:rsid w:val="1C368E1E"/>
    <w:rsid w:val="1D428E1D"/>
    <w:rsid w:val="1DA4D2D1"/>
    <w:rsid w:val="1EE97BF8"/>
    <w:rsid w:val="1FC37650"/>
    <w:rsid w:val="217E635B"/>
    <w:rsid w:val="21E6E940"/>
    <w:rsid w:val="2320440F"/>
    <w:rsid w:val="238CF396"/>
    <w:rsid w:val="27445A28"/>
    <w:rsid w:val="274E87DE"/>
    <w:rsid w:val="2760D43A"/>
    <w:rsid w:val="28A527B7"/>
    <w:rsid w:val="29D680A6"/>
    <w:rsid w:val="2B92249F"/>
    <w:rsid w:val="2BB45D83"/>
    <w:rsid w:val="2EA46260"/>
    <w:rsid w:val="30B6AD8B"/>
    <w:rsid w:val="30DA1734"/>
    <w:rsid w:val="3198D005"/>
    <w:rsid w:val="31B8CDD3"/>
    <w:rsid w:val="3282C440"/>
    <w:rsid w:val="339142F6"/>
    <w:rsid w:val="33AA06AC"/>
    <w:rsid w:val="33D5A26D"/>
    <w:rsid w:val="3458AE3D"/>
    <w:rsid w:val="35A036B8"/>
    <w:rsid w:val="35CA2CCF"/>
    <w:rsid w:val="366FB41D"/>
    <w:rsid w:val="36E530A9"/>
    <w:rsid w:val="374C47EC"/>
    <w:rsid w:val="3A3A72A4"/>
    <w:rsid w:val="3B0324C9"/>
    <w:rsid w:val="3B035735"/>
    <w:rsid w:val="3B40C640"/>
    <w:rsid w:val="3BF6F0B3"/>
    <w:rsid w:val="3DB0D5FB"/>
    <w:rsid w:val="3E83182F"/>
    <w:rsid w:val="3ED5BE20"/>
    <w:rsid w:val="3FEC42F3"/>
    <w:rsid w:val="413EDD9C"/>
    <w:rsid w:val="41E55773"/>
    <w:rsid w:val="41E68663"/>
    <w:rsid w:val="46433ED8"/>
    <w:rsid w:val="46844330"/>
    <w:rsid w:val="47272DEF"/>
    <w:rsid w:val="47EDED2B"/>
    <w:rsid w:val="4835AF1E"/>
    <w:rsid w:val="4B242C2C"/>
    <w:rsid w:val="4B4021A8"/>
    <w:rsid w:val="4C62CE69"/>
    <w:rsid w:val="4D0A5051"/>
    <w:rsid w:val="4D742446"/>
    <w:rsid w:val="4E5C9737"/>
    <w:rsid w:val="4EFFB70F"/>
    <w:rsid w:val="4F39717E"/>
    <w:rsid w:val="4F5B79C2"/>
    <w:rsid w:val="4F6AA4A5"/>
    <w:rsid w:val="518E24A3"/>
    <w:rsid w:val="51C497F7"/>
    <w:rsid w:val="523DC236"/>
    <w:rsid w:val="52557641"/>
    <w:rsid w:val="53683F2C"/>
    <w:rsid w:val="553C06C4"/>
    <w:rsid w:val="55E87561"/>
    <w:rsid w:val="562745B4"/>
    <w:rsid w:val="5861A146"/>
    <w:rsid w:val="5945D614"/>
    <w:rsid w:val="5BAE134C"/>
    <w:rsid w:val="5CE7C94D"/>
    <w:rsid w:val="5D077D6F"/>
    <w:rsid w:val="5D3FF56C"/>
    <w:rsid w:val="5D6CB9D1"/>
    <w:rsid w:val="5DAC2E96"/>
    <w:rsid w:val="5EDBA999"/>
    <w:rsid w:val="5EE6B1E0"/>
    <w:rsid w:val="5EFBB819"/>
    <w:rsid w:val="60883A88"/>
    <w:rsid w:val="625FB38C"/>
    <w:rsid w:val="62AF94DB"/>
    <w:rsid w:val="631CF7E0"/>
    <w:rsid w:val="636CA65E"/>
    <w:rsid w:val="638D95C8"/>
    <w:rsid w:val="65BE9A96"/>
    <w:rsid w:val="65D42BE1"/>
    <w:rsid w:val="66F7FC31"/>
    <w:rsid w:val="6719CA7C"/>
    <w:rsid w:val="6727CFCA"/>
    <w:rsid w:val="6786F895"/>
    <w:rsid w:val="6C5FC68D"/>
    <w:rsid w:val="6CC348E3"/>
    <w:rsid w:val="7044F1E2"/>
    <w:rsid w:val="706F35C1"/>
    <w:rsid w:val="70C8994D"/>
    <w:rsid w:val="715B0B2E"/>
    <w:rsid w:val="7177712E"/>
    <w:rsid w:val="72223546"/>
    <w:rsid w:val="7259B881"/>
    <w:rsid w:val="7297278C"/>
    <w:rsid w:val="738ABA8B"/>
    <w:rsid w:val="743CFC10"/>
    <w:rsid w:val="752B121E"/>
    <w:rsid w:val="75B76659"/>
    <w:rsid w:val="7618E941"/>
    <w:rsid w:val="765C441C"/>
    <w:rsid w:val="76AE519A"/>
    <w:rsid w:val="77A5C810"/>
    <w:rsid w:val="796F73DC"/>
    <w:rsid w:val="7B103EE9"/>
    <w:rsid w:val="7B25E07F"/>
    <w:rsid w:val="7E2AEB92"/>
    <w:rsid w:val="7EE3D02B"/>
    <w:rsid w:val="7F03BC59"/>
    <w:rsid w:val="7F627818"/>
    <w:rsid w:val="7FC3C07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15C4A963-C4C4-4A8E-86A1-F141FF5EA5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3C3ABA"/>
    <w:pPr>
      <w:numPr>
        <w:numId w:val="3"/>
      </w:numPr>
      <w:tabs>
        <w:tab w:val="clear" w:pos="1304"/>
        <w:tab w:val="num"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1st level - Bullet List Paragraph,List Paragraph1,Lettre d'introduction,Paragrafo elenco,Normal bullet 2,Bullet list,Numbered List,Lista1,Task Body,Viñetas (Inicio Parrafo),3 Txt tabla,Zerrenda-paragrafoa,Lista viñetas,列出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1st level - Bullet List Paragraph Char1,List Paragraph1 Char1,Lettre d'introduction Char1,Paragrafo elenco Char1,Normal bullet 2 Char1,Bullet list Char1,Numbered List Char1,Lista1 Char,Task Body Char1,3 Txt tabla Char1"/>
    <w:link w:val="ListParagraph"/>
    <w:uiPriority w:val="34"/>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NOZchn">
    <w:name w:val="NO Zchn"/>
    <w:rsid w:val="005751F8"/>
    <w:rPr>
      <w:rFonts w:eastAsia="Times New Roman"/>
    </w:rPr>
  </w:style>
  <w:style w:type="paragraph" w:styleId="Revision">
    <w:name w:val="Revision"/>
    <w:hidden/>
    <w:uiPriority w:val="99"/>
    <w:semiHidden/>
    <w:rsid w:val="00394C94"/>
    <w:rPr>
      <w:rFonts w:ascii="Arial" w:eastAsiaTheme="minorHAnsi" w:hAnsi="Arial" w:cstheme="minorBidi"/>
      <w:szCs w:val="22"/>
      <w:lang w:val="en-US" w:eastAsia="en-US"/>
    </w:rPr>
  </w:style>
  <w:style w:type="character" w:styleId="UnresolvedMention">
    <w:name w:val="Unresolved Mention"/>
    <w:basedOn w:val="DefaultParagraphFont"/>
    <w:uiPriority w:val="99"/>
    <w:unhideWhenUsed/>
    <w:rsid w:val="00371B86"/>
    <w:rPr>
      <w:color w:val="605E5C"/>
      <w:shd w:val="clear" w:color="auto" w:fill="E1DFDD"/>
    </w:rPr>
  </w:style>
  <w:style w:type="character" w:styleId="Mention">
    <w:name w:val="Mention"/>
    <w:basedOn w:val="DefaultParagraphFont"/>
    <w:uiPriority w:val="99"/>
    <w:unhideWhenUsed/>
    <w:rsid w:val="00371B86"/>
    <w:rPr>
      <w:color w:val="2B579A"/>
      <w:shd w:val="clear" w:color="auto" w:fill="E1DFDD"/>
    </w:rPr>
  </w:style>
  <w:style w:type="character" w:customStyle="1" w:styleId="ListParagraphChar1">
    <w:name w:val="List Paragraph Char1"/>
    <w:aliases w:val="- Bullets Char1,1st level - Bullet List Paragraph Char,List Paragraph1 Char,Lettre d'introduction Char,Paragrafo elenco Char,Normal bullet 2 Char,Bullet list Char,Numbered List Char,Lista1 Char1,Task Body Char,3 Txt tabla Char"/>
    <w:basedOn w:val="DefaultParagraphFont"/>
    <w:uiPriority w:val="34"/>
    <w:qFormat/>
    <w:locked/>
    <w:rsid w:val="00406007"/>
    <w:rPr>
      <w:rFonts w:asciiTheme="minorHAnsi" w:eastAsiaTheme="minorHAnsi" w:hAnsiTheme="minorHAnsi" w:cstheme="minorBidi"/>
      <w:sz w:val="22"/>
      <w:szCs w:val="22"/>
      <w:lang w:eastAsia="en-US"/>
    </w:rPr>
  </w:style>
  <w:style w:type="character" w:customStyle="1" w:styleId="ui-provider">
    <w:name w:val="ui-provider"/>
    <w:basedOn w:val="DefaultParagraphFont"/>
    <w:rsid w:val="004060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329168">
      <w:bodyDiv w:val="1"/>
      <w:marLeft w:val="0"/>
      <w:marRight w:val="0"/>
      <w:marTop w:val="0"/>
      <w:marBottom w:val="0"/>
      <w:divBdr>
        <w:top w:val="none" w:sz="0" w:space="0" w:color="auto"/>
        <w:left w:val="none" w:sz="0" w:space="0" w:color="auto"/>
        <w:bottom w:val="none" w:sz="0" w:space="0" w:color="auto"/>
        <w:right w:val="none" w:sz="0" w:space="0" w:color="auto"/>
      </w:divBdr>
      <w:divsChild>
        <w:div w:id="1180194745">
          <w:marLeft w:val="576"/>
          <w:marRight w:val="0"/>
          <w:marTop w:val="160"/>
          <w:marBottom w:val="0"/>
          <w:divBdr>
            <w:top w:val="none" w:sz="0" w:space="0" w:color="auto"/>
            <w:left w:val="none" w:sz="0" w:space="0" w:color="auto"/>
            <w:bottom w:val="none" w:sz="0" w:space="0" w:color="auto"/>
            <w:right w:val="none" w:sz="0" w:space="0" w:color="auto"/>
          </w:divBdr>
        </w:div>
        <w:div w:id="1916666433">
          <w:marLeft w:val="288"/>
          <w:marRight w:val="0"/>
          <w:marTop w:val="160"/>
          <w:marBottom w:val="0"/>
          <w:divBdr>
            <w:top w:val="none" w:sz="0" w:space="0" w:color="auto"/>
            <w:left w:val="none" w:sz="0" w:space="0" w:color="auto"/>
            <w:bottom w:val="none" w:sz="0" w:space="0" w:color="auto"/>
            <w:right w:val="none" w:sz="0" w:space="0" w:color="auto"/>
          </w:divBdr>
        </w:div>
      </w:divsChild>
    </w:div>
    <w:div w:id="80877126">
      <w:bodyDiv w:val="1"/>
      <w:marLeft w:val="0"/>
      <w:marRight w:val="0"/>
      <w:marTop w:val="0"/>
      <w:marBottom w:val="0"/>
      <w:divBdr>
        <w:top w:val="none" w:sz="0" w:space="0" w:color="auto"/>
        <w:left w:val="none" w:sz="0" w:space="0" w:color="auto"/>
        <w:bottom w:val="none" w:sz="0" w:space="0" w:color="auto"/>
        <w:right w:val="none" w:sz="0" w:space="0" w:color="auto"/>
      </w:divBdr>
      <w:divsChild>
        <w:div w:id="485515144">
          <w:marLeft w:val="576"/>
          <w:marRight w:val="0"/>
          <w:marTop w:val="160"/>
          <w:marBottom w:val="0"/>
          <w:divBdr>
            <w:top w:val="none" w:sz="0" w:space="0" w:color="auto"/>
            <w:left w:val="none" w:sz="0" w:space="0" w:color="auto"/>
            <w:bottom w:val="none" w:sz="0" w:space="0" w:color="auto"/>
            <w:right w:val="none" w:sz="0" w:space="0" w:color="auto"/>
          </w:divBdr>
        </w:div>
        <w:div w:id="1417701135">
          <w:marLeft w:val="288"/>
          <w:marRight w:val="0"/>
          <w:marTop w:val="160"/>
          <w:marBottom w:val="0"/>
          <w:divBdr>
            <w:top w:val="none" w:sz="0" w:space="0" w:color="auto"/>
            <w:left w:val="none" w:sz="0" w:space="0" w:color="auto"/>
            <w:bottom w:val="none" w:sz="0" w:space="0" w:color="auto"/>
            <w:right w:val="none" w:sz="0" w:space="0" w:color="auto"/>
          </w:divBdr>
        </w:div>
        <w:div w:id="1504708929">
          <w:marLeft w:val="576"/>
          <w:marRight w:val="0"/>
          <w:marTop w:val="160"/>
          <w:marBottom w:val="0"/>
          <w:divBdr>
            <w:top w:val="none" w:sz="0" w:space="0" w:color="auto"/>
            <w:left w:val="none" w:sz="0" w:space="0" w:color="auto"/>
            <w:bottom w:val="none" w:sz="0" w:space="0" w:color="auto"/>
            <w:right w:val="none" w:sz="0" w:space="0" w:color="auto"/>
          </w:divBdr>
        </w:div>
      </w:divsChild>
    </w:div>
    <w:div w:id="168524147">
      <w:bodyDiv w:val="1"/>
      <w:marLeft w:val="0"/>
      <w:marRight w:val="0"/>
      <w:marTop w:val="0"/>
      <w:marBottom w:val="0"/>
      <w:divBdr>
        <w:top w:val="none" w:sz="0" w:space="0" w:color="auto"/>
        <w:left w:val="none" w:sz="0" w:space="0" w:color="auto"/>
        <w:bottom w:val="none" w:sz="0" w:space="0" w:color="auto"/>
        <w:right w:val="none" w:sz="0" w:space="0" w:color="auto"/>
      </w:divBdr>
      <w:divsChild>
        <w:div w:id="857236597">
          <w:marLeft w:val="576"/>
          <w:marRight w:val="0"/>
          <w:marTop w:val="160"/>
          <w:marBottom w:val="0"/>
          <w:divBdr>
            <w:top w:val="none" w:sz="0" w:space="0" w:color="auto"/>
            <w:left w:val="none" w:sz="0" w:space="0" w:color="auto"/>
            <w:bottom w:val="none" w:sz="0" w:space="0" w:color="auto"/>
            <w:right w:val="none" w:sz="0" w:space="0" w:color="auto"/>
          </w:divBdr>
        </w:div>
      </w:divsChild>
    </w:div>
    <w:div w:id="188884835">
      <w:bodyDiv w:val="1"/>
      <w:marLeft w:val="0"/>
      <w:marRight w:val="0"/>
      <w:marTop w:val="0"/>
      <w:marBottom w:val="0"/>
      <w:divBdr>
        <w:top w:val="none" w:sz="0" w:space="0" w:color="auto"/>
        <w:left w:val="none" w:sz="0" w:space="0" w:color="auto"/>
        <w:bottom w:val="none" w:sz="0" w:space="0" w:color="auto"/>
        <w:right w:val="none" w:sz="0" w:space="0" w:color="auto"/>
      </w:divBdr>
    </w:div>
    <w:div w:id="281809396">
      <w:bodyDiv w:val="1"/>
      <w:marLeft w:val="0"/>
      <w:marRight w:val="0"/>
      <w:marTop w:val="0"/>
      <w:marBottom w:val="0"/>
      <w:divBdr>
        <w:top w:val="none" w:sz="0" w:space="0" w:color="auto"/>
        <w:left w:val="none" w:sz="0" w:space="0" w:color="auto"/>
        <w:bottom w:val="none" w:sz="0" w:space="0" w:color="auto"/>
        <w:right w:val="none" w:sz="0" w:space="0" w:color="auto"/>
      </w:divBdr>
      <w:divsChild>
        <w:div w:id="303698726">
          <w:marLeft w:val="418"/>
          <w:marRight w:val="0"/>
          <w:marTop w:val="160"/>
          <w:marBottom w:val="0"/>
          <w:divBdr>
            <w:top w:val="none" w:sz="0" w:space="0" w:color="auto"/>
            <w:left w:val="none" w:sz="0" w:space="0" w:color="auto"/>
            <w:bottom w:val="none" w:sz="0" w:space="0" w:color="auto"/>
            <w:right w:val="none" w:sz="0" w:space="0" w:color="auto"/>
          </w:divBdr>
        </w:div>
        <w:div w:id="365451804">
          <w:marLeft w:val="850"/>
          <w:marRight w:val="0"/>
          <w:marTop w:val="160"/>
          <w:marBottom w:val="0"/>
          <w:divBdr>
            <w:top w:val="none" w:sz="0" w:space="0" w:color="auto"/>
            <w:left w:val="none" w:sz="0" w:space="0" w:color="auto"/>
            <w:bottom w:val="none" w:sz="0" w:space="0" w:color="auto"/>
            <w:right w:val="none" w:sz="0" w:space="0" w:color="auto"/>
          </w:divBdr>
        </w:div>
        <w:div w:id="518350327">
          <w:marLeft w:val="850"/>
          <w:marRight w:val="0"/>
          <w:marTop w:val="160"/>
          <w:marBottom w:val="0"/>
          <w:divBdr>
            <w:top w:val="none" w:sz="0" w:space="0" w:color="auto"/>
            <w:left w:val="none" w:sz="0" w:space="0" w:color="auto"/>
            <w:bottom w:val="none" w:sz="0" w:space="0" w:color="auto"/>
            <w:right w:val="none" w:sz="0" w:space="0" w:color="auto"/>
          </w:divBdr>
        </w:div>
        <w:div w:id="1683167642">
          <w:marLeft w:val="850"/>
          <w:marRight w:val="0"/>
          <w:marTop w:val="160"/>
          <w:marBottom w:val="0"/>
          <w:divBdr>
            <w:top w:val="none" w:sz="0" w:space="0" w:color="auto"/>
            <w:left w:val="none" w:sz="0" w:space="0" w:color="auto"/>
            <w:bottom w:val="none" w:sz="0" w:space="0" w:color="auto"/>
            <w:right w:val="none" w:sz="0" w:space="0" w:color="auto"/>
          </w:divBdr>
        </w:div>
        <w:div w:id="1854806379">
          <w:marLeft w:val="418"/>
          <w:marRight w:val="0"/>
          <w:marTop w:val="160"/>
          <w:marBottom w:val="0"/>
          <w:divBdr>
            <w:top w:val="none" w:sz="0" w:space="0" w:color="auto"/>
            <w:left w:val="none" w:sz="0" w:space="0" w:color="auto"/>
            <w:bottom w:val="none" w:sz="0" w:space="0" w:color="auto"/>
            <w:right w:val="none" w:sz="0" w:space="0" w:color="auto"/>
          </w:divBdr>
        </w:div>
        <w:div w:id="2118715569">
          <w:marLeft w:val="850"/>
          <w:marRight w:val="0"/>
          <w:marTop w:val="160"/>
          <w:marBottom w:val="0"/>
          <w:divBdr>
            <w:top w:val="none" w:sz="0" w:space="0" w:color="auto"/>
            <w:left w:val="none" w:sz="0" w:space="0" w:color="auto"/>
            <w:bottom w:val="none" w:sz="0" w:space="0" w:color="auto"/>
            <w:right w:val="none" w:sz="0" w:space="0" w:color="auto"/>
          </w:divBdr>
        </w:div>
      </w:divsChild>
    </w:div>
    <w:div w:id="446048946">
      <w:bodyDiv w:val="1"/>
      <w:marLeft w:val="0"/>
      <w:marRight w:val="0"/>
      <w:marTop w:val="0"/>
      <w:marBottom w:val="0"/>
      <w:divBdr>
        <w:top w:val="none" w:sz="0" w:space="0" w:color="auto"/>
        <w:left w:val="none" w:sz="0" w:space="0" w:color="auto"/>
        <w:bottom w:val="none" w:sz="0" w:space="0" w:color="auto"/>
        <w:right w:val="none" w:sz="0" w:space="0" w:color="auto"/>
      </w:divBdr>
      <w:divsChild>
        <w:div w:id="620185490">
          <w:marLeft w:val="576"/>
          <w:marRight w:val="0"/>
          <w:marTop w:val="160"/>
          <w:marBottom w:val="0"/>
          <w:divBdr>
            <w:top w:val="none" w:sz="0" w:space="0" w:color="auto"/>
            <w:left w:val="none" w:sz="0" w:space="0" w:color="auto"/>
            <w:bottom w:val="none" w:sz="0" w:space="0" w:color="auto"/>
            <w:right w:val="none" w:sz="0" w:space="0" w:color="auto"/>
          </w:divBdr>
        </w:div>
        <w:div w:id="1059282491">
          <w:marLeft w:val="576"/>
          <w:marRight w:val="0"/>
          <w:marTop w:val="160"/>
          <w:marBottom w:val="0"/>
          <w:divBdr>
            <w:top w:val="none" w:sz="0" w:space="0" w:color="auto"/>
            <w:left w:val="none" w:sz="0" w:space="0" w:color="auto"/>
            <w:bottom w:val="none" w:sz="0" w:space="0" w:color="auto"/>
            <w:right w:val="none" w:sz="0" w:space="0" w:color="auto"/>
          </w:divBdr>
        </w:div>
      </w:divsChild>
    </w:div>
    <w:div w:id="497575601">
      <w:bodyDiv w:val="1"/>
      <w:marLeft w:val="0"/>
      <w:marRight w:val="0"/>
      <w:marTop w:val="0"/>
      <w:marBottom w:val="0"/>
      <w:divBdr>
        <w:top w:val="none" w:sz="0" w:space="0" w:color="auto"/>
        <w:left w:val="none" w:sz="0" w:space="0" w:color="auto"/>
        <w:bottom w:val="none" w:sz="0" w:space="0" w:color="auto"/>
        <w:right w:val="none" w:sz="0" w:space="0" w:color="auto"/>
      </w:divBdr>
      <w:divsChild>
        <w:div w:id="753747683">
          <w:marLeft w:val="418"/>
          <w:marRight w:val="0"/>
          <w:marTop w:val="160"/>
          <w:marBottom w:val="0"/>
          <w:divBdr>
            <w:top w:val="none" w:sz="0" w:space="0" w:color="auto"/>
            <w:left w:val="none" w:sz="0" w:space="0" w:color="auto"/>
            <w:bottom w:val="none" w:sz="0" w:space="0" w:color="auto"/>
            <w:right w:val="none" w:sz="0" w:space="0" w:color="auto"/>
          </w:divBdr>
        </w:div>
        <w:div w:id="1003706290">
          <w:marLeft w:val="418"/>
          <w:marRight w:val="0"/>
          <w:marTop w:val="160"/>
          <w:marBottom w:val="0"/>
          <w:divBdr>
            <w:top w:val="none" w:sz="0" w:space="0" w:color="auto"/>
            <w:left w:val="none" w:sz="0" w:space="0" w:color="auto"/>
            <w:bottom w:val="none" w:sz="0" w:space="0" w:color="auto"/>
            <w:right w:val="none" w:sz="0" w:space="0" w:color="auto"/>
          </w:divBdr>
        </w:div>
        <w:div w:id="1097359791">
          <w:marLeft w:val="418"/>
          <w:marRight w:val="0"/>
          <w:marTop w:val="160"/>
          <w:marBottom w:val="0"/>
          <w:divBdr>
            <w:top w:val="none" w:sz="0" w:space="0" w:color="auto"/>
            <w:left w:val="none" w:sz="0" w:space="0" w:color="auto"/>
            <w:bottom w:val="none" w:sz="0" w:space="0" w:color="auto"/>
            <w:right w:val="none" w:sz="0" w:space="0" w:color="auto"/>
          </w:divBdr>
        </w:div>
        <w:div w:id="1164515229">
          <w:marLeft w:val="418"/>
          <w:marRight w:val="0"/>
          <w:marTop w:val="160"/>
          <w:marBottom w:val="0"/>
          <w:divBdr>
            <w:top w:val="none" w:sz="0" w:space="0" w:color="auto"/>
            <w:left w:val="none" w:sz="0" w:space="0" w:color="auto"/>
            <w:bottom w:val="none" w:sz="0" w:space="0" w:color="auto"/>
            <w:right w:val="none" w:sz="0" w:space="0" w:color="auto"/>
          </w:divBdr>
        </w:div>
        <w:div w:id="2101903061">
          <w:marLeft w:val="418"/>
          <w:marRight w:val="0"/>
          <w:marTop w:val="160"/>
          <w:marBottom w:val="0"/>
          <w:divBdr>
            <w:top w:val="none" w:sz="0" w:space="0" w:color="auto"/>
            <w:left w:val="none" w:sz="0" w:space="0" w:color="auto"/>
            <w:bottom w:val="none" w:sz="0" w:space="0" w:color="auto"/>
            <w:right w:val="none" w:sz="0" w:space="0" w:color="auto"/>
          </w:divBdr>
        </w:div>
      </w:divsChild>
    </w:div>
    <w:div w:id="660474815">
      <w:bodyDiv w:val="1"/>
      <w:marLeft w:val="0"/>
      <w:marRight w:val="0"/>
      <w:marTop w:val="0"/>
      <w:marBottom w:val="0"/>
      <w:divBdr>
        <w:top w:val="none" w:sz="0" w:space="0" w:color="auto"/>
        <w:left w:val="none" w:sz="0" w:space="0" w:color="auto"/>
        <w:bottom w:val="none" w:sz="0" w:space="0" w:color="auto"/>
        <w:right w:val="none" w:sz="0" w:space="0" w:color="auto"/>
      </w:divBdr>
      <w:divsChild>
        <w:div w:id="42827520">
          <w:marLeft w:val="850"/>
          <w:marRight w:val="0"/>
          <w:marTop w:val="0"/>
          <w:marBottom w:val="0"/>
          <w:divBdr>
            <w:top w:val="none" w:sz="0" w:space="0" w:color="auto"/>
            <w:left w:val="none" w:sz="0" w:space="0" w:color="auto"/>
            <w:bottom w:val="none" w:sz="0" w:space="0" w:color="auto"/>
            <w:right w:val="none" w:sz="0" w:space="0" w:color="auto"/>
          </w:divBdr>
        </w:div>
        <w:div w:id="96297156">
          <w:marLeft w:val="850"/>
          <w:marRight w:val="0"/>
          <w:marTop w:val="0"/>
          <w:marBottom w:val="0"/>
          <w:divBdr>
            <w:top w:val="none" w:sz="0" w:space="0" w:color="auto"/>
            <w:left w:val="none" w:sz="0" w:space="0" w:color="auto"/>
            <w:bottom w:val="none" w:sz="0" w:space="0" w:color="auto"/>
            <w:right w:val="none" w:sz="0" w:space="0" w:color="auto"/>
          </w:divBdr>
        </w:div>
        <w:div w:id="404844252">
          <w:marLeft w:val="418"/>
          <w:marRight w:val="0"/>
          <w:marTop w:val="0"/>
          <w:marBottom w:val="0"/>
          <w:divBdr>
            <w:top w:val="none" w:sz="0" w:space="0" w:color="auto"/>
            <w:left w:val="none" w:sz="0" w:space="0" w:color="auto"/>
            <w:bottom w:val="none" w:sz="0" w:space="0" w:color="auto"/>
            <w:right w:val="none" w:sz="0" w:space="0" w:color="auto"/>
          </w:divBdr>
        </w:div>
        <w:div w:id="671953926">
          <w:marLeft w:val="850"/>
          <w:marRight w:val="0"/>
          <w:marTop w:val="0"/>
          <w:marBottom w:val="0"/>
          <w:divBdr>
            <w:top w:val="none" w:sz="0" w:space="0" w:color="auto"/>
            <w:left w:val="none" w:sz="0" w:space="0" w:color="auto"/>
            <w:bottom w:val="none" w:sz="0" w:space="0" w:color="auto"/>
            <w:right w:val="none" w:sz="0" w:space="0" w:color="auto"/>
          </w:divBdr>
        </w:div>
        <w:div w:id="847478639">
          <w:marLeft w:val="418"/>
          <w:marRight w:val="0"/>
          <w:marTop w:val="0"/>
          <w:marBottom w:val="0"/>
          <w:divBdr>
            <w:top w:val="none" w:sz="0" w:space="0" w:color="auto"/>
            <w:left w:val="none" w:sz="0" w:space="0" w:color="auto"/>
            <w:bottom w:val="none" w:sz="0" w:space="0" w:color="auto"/>
            <w:right w:val="none" w:sz="0" w:space="0" w:color="auto"/>
          </w:divBdr>
        </w:div>
        <w:div w:id="1019696994">
          <w:marLeft w:val="850"/>
          <w:marRight w:val="0"/>
          <w:marTop w:val="0"/>
          <w:marBottom w:val="0"/>
          <w:divBdr>
            <w:top w:val="none" w:sz="0" w:space="0" w:color="auto"/>
            <w:left w:val="none" w:sz="0" w:space="0" w:color="auto"/>
            <w:bottom w:val="none" w:sz="0" w:space="0" w:color="auto"/>
            <w:right w:val="none" w:sz="0" w:space="0" w:color="auto"/>
          </w:divBdr>
        </w:div>
        <w:div w:id="1163279351">
          <w:marLeft w:val="850"/>
          <w:marRight w:val="0"/>
          <w:marTop w:val="0"/>
          <w:marBottom w:val="0"/>
          <w:divBdr>
            <w:top w:val="none" w:sz="0" w:space="0" w:color="auto"/>
            <w:left w:val="none" w:sz="0" w:space="0" w:color="auto"/>
            <w:bottom w:val="none" w:sz="0" w:space="0" w:color="auto"/>
            <w:right w:val="none" w:sz="0" w:space="0" w:color="auto"/>
          </w:divBdr>
        </w:div>
        <w:div w:id="1420254469">
          <w:marLeft w:val="418"/>
          <w:marRight w:val="0"/>
          <w:marTop w:val="0"/>
          <w:marBottom w:val="0"/>
          <w:divBdr>
            <w:top w:val="none" w:sz="0" w:space="0" w:color="auto"/>
            <w:left w:val="none" w:sz="0" w:space="0" w:color="auto"/>
            <w:bottom w:val="none" w:sz="0" w:space="0" w:color="auto"/>
            <w:right w:val="none" w:sz="0" w:space="0" w:color="auto"/>
          </w:divBdr>
        </w:div>
        <w:div w:id="1918051079">
          <w:marLeft w:val="418"/>
          <w:marRight w:val="0"/>
          <w:marTop w:val="0"/>
          <w:marBottom w:val="0"/>
          <w:divBdr>
            <w:top w:val="none" w:sz="0" w:space="0" w:color="auto"/>
            <w:left w:val="none" w:sz="0" w:space="0" w:color="auto"/>
            <w:bottom w:val="none" w:sz="0" w:space="0" w:color="auto"/>
            <w:right w:val="none" w:sz="0" w:space="0" w:color="auto"/>
          </w:divBdr>
        </w:div>
        <w:div w:id="2042707663">
          <w:marLeft w:val="850"/>
          <w:marRight w:val="0"/>
          <w:marTop w:val="0"/>
          <w:marBottom w:val="0"/>
          <w:divBdr>
            <w:top w:val="none" w:sz="0" w:space="0" w:color="auto"/>
            <w:left w:val="none" w:sz="0" w:space="0" w:color="auto"/>
            <w:bottom w:val="none" w:sz="0" w:space="0" w:color="auto"/>
            <w:right w:val="none" w:sz="0" w:space="0" w:color="auto"/>
          </w:divBdr>
        </w:div>
      </w:divsChild>
    </w:div>
    <w:div w:id="911503774">
      <w:bodyDiv w:val="1"/>
      <w:marLeft w:val="0"/>
      <w:marRight w:val="0"/>
      <w:marTop w:val="0"/>
      <w:marBottom w:val="0"/>
      <w:divBdr>
        <w:top w:val="none" w:sz="0" w:space="0" w:color="auto"/>
        <w:left w:val="none" w:sz="0" w:space="0" w:color="auto"/>
        <w:bottom w:val="none" w:sz="0" w:space="0" w:color="auto"/>
        <w:right w:val="none" w:sz="0" w:space="0" w:color="auto"/>
      </w:divBdr>
      <w:divsChild>
        <w:div w:id="1462651700">
          <w:marLeft w:val="418"/>
          <w:marRight w:val="0"/>
          <w:marTop w:val="160"/>
          <w:marBottom w:val="0"/>
          <w:divBdr>
            <w:top w:val="none" w:sz="0" w:space="0" w:color="auto"/>
            <w:left w:val="none" w:sz="0" w:space="0" w:color="auto"/>
            <w:bottom w:val="none" w:sz="0" w:space="0" w:color="auto"/>
            <w:right w:val="none" w:sz="0" w:space="0" w:color="auto"/>
          </w:divBdr>
        </w:div>
        <w:div w:id="1557548760">
          <w:marLeft w:val="418"/>
          <w:marRight w:val="0"/>
          <w:marTop w:val="160"/>
          <w:marBottom w:val="0"/>
          <w:divBdr>
            <w:top w:val="none" w:sz="0" w:space="0" w:color="auto"/>
            <w:left w:val="none" w:sz="0" w:space="0" w:color="auto"/>
            <w:bottom w:val="none" w:sz="0" w:space="0" w:color="auto"/>
            <w:right w:val="none" w:sz="0" w:space="0" w:color="auto"/>
          </w:divBdr>
        </w:div>
        <w:div w:id="1829393658">
          <w:marLeft w:val="418"/>
          <w:marRight w:val="0"/>
          <w:marTop w:val="160"/>
          <w:marBottom w:val="0"/>
          <w:divBdr>
            <w:top w:val="none" w:sz="0" w:space="0" w:color="auto"/>
            <w:left w:val="none" w:sz="0" w:space="0" w:color="auto"/>
            <w:bottom w:val="none" w:sz="0" w:space="0" w:color="auto"/>
            <w:right w:val="none" w:sz="0" w:space="0" w:color="auto"/>
          </w:divBdr>
        </w:div>
        <w:div w:id="2104568169">
          <w:marLeft w:val="418"/>
          <w:marRight w:val="0"/>
          <w:marTop w:val="160"/>
          <w:marBottom w:val="0"/>
          <w:divBdr>
            <w:top w:val="none" w:sz="0" w:space="0" w:color="auto"/>
            <w:left w:val="none" w:sz="0" w:space="0" w:color="auto"/>
            <w:bottom w:val="none" w:sz="0" w:space="0" w:color="auto"/>
            <w:right w:val="none" w:sz="0" w:space="0" w:color="auto"/>
          </w:divBdr>
        </w:div>
      </w:divsChild>
    </w:div>
    <w:div w:id="970938900">
      <w:bodyDiv w:val="1"/>
      <w:marLeft w:val="0"/>
      <w:marRight w:val="0"/>
      <w:marTop w:val="0"/>
      <w:marBottom w:val="0"/>
      <w:divBdr>
        <w:top w:val="none" w:sz="0" w:space="0" w:color="auto"/>
        <w:left w:val="none" w:sz="0" w:space="0" w:color="auto"/>
        <w:bottom w:val="none" w:sz="0" w:space="0" w:color="auto"/>
        <w:right w:val="none" w:sz="0" w:space="0" w:color="auto"/>
      </w:divBdr>
      <w:divsChild>
        <w:div w:id="228346972">
          <w:marLeft w:val="850"/>
          <w:marRight w:val="0"/>
          <w:marTop w:val="160"/>
          <w:marBottom w:val="0"/>
          <w:divBdr>
            <w:top w:val="none" w:sz="0" w:space="0" w:color="auto"/>
            <w:left w:val="none" w:sz="0" w:space="0" w:color="auto"/>
            <w:bottom w:val="none" w:sz="0" w:space="0" w:color="auto"/>
            <w:right w:val="none" w:sz="0" w:space="0" w:color="auto"/>
          </w:divBdr>
        </w:div>
        <w:div w:id="411776402">
          <w:marLeft w:val="850"/>
          <w:marRight w:val="0"/>
          <w:marTop w:val="160"/>
          <w:marBottom w:val="0"/>
          <w:divBdr>
            <w:top w:val="none" w:sz="0" w:space="0" w:color="auto"/>
            <w:left w:val="none" w:sz="0" w:space="0" w:color="auto"/>
            <w:bottom w:val="none" w:sz="0" w:space="0" w:color="auto"/>
            <w:right w:val="none" w:sz="0" w:space="0" w:color="auto"/>
          </w:divBdr>
        </w:div>
        <w:div w:id="563223106">
          <w:marLeft w:val="576"/>
          <w:marRight w:val="0"/>
          <w:marTop w:val="160"/>
          <w:marBottom w:val="0"/>
          <w:divBdr>
            <w:top w:val="none" w:sz="0" w:space="0" w:color="auto"/>
            <w:left w:val="none" w:sz="0" w:space="0" w:color="auto"/>
            <w:bottom w:val="none" w:sz="0" w:space="0" w:color="auto"/>
            <w:right w:val="none" w:sz="0" w:space="0" w:color="auto"/>
          </w:divBdr>
        </w:div>
        <w:div w:id="654992759">
          <w:marLeft w:val="850"/>
          <w:marRight w:val="0"/>
          <w:marTop w:val="160"/>
          <w:marBottom w:val="0"/>
          <w:divBdr>
            <w:top w:val="none" w:sz="0" w:space="0" w:color="auto"/>
            <w:left w:val="none" w:sz="0" w:space="0" w:color="auto"/>
            <w:bottom w:val="none" w:sz="0" w:space="0" w:color="auto"/>
            <w:right w:val="none" w:sz="0" w:space="0" w:color="auto"/>
          </w:divBdr>
        </w:div>
        <w:div w:id="1137912437">
          <w:marLeft w:val="288"/>
          <w:marRight w:val="0"/>
          <w:marTop w:val="160"/>
          <w:marBottom w:val="0"/>
          <w:divBdr>
            <w:top w:val="none" w:sz="0" w:space="0" w:color="auto"/>
            <w:left w:val="none" w:sz="0" w:space="0" w:color="auto"/>
            <w:bottom w:val="none" w:sz="0" w:space="0" w:color="auto"/>
            <w:right w:val="none" w:sz="0" w:space="0" w:color="auto"/>
          </w:divBdr>
        </w:div>
        <w:div w:id="1550073700">
          <w:marLeft w:val="850"/>
          <w:marRight w:val="0"/>
          <w:marTop w:val="160"/>
          <w:marBottom w:val="0"/>
          <w:divBdr>
            <w:top w:val="none" w:sz="0" w:space="0" w:color="auto"/>
            <w:left w:val="none" w:sz="0" w:space="0" w:color="auto"/>
            <w:bottom w:val="none" w:sz="0" w:space="0" w:color="auto"/>
            <w:right w:val="none" w:sz="0" w:space="0" w:color="auto"/>
          </w:divBdr>
        </w:div>
      </w:divsChild>
    </w:div>
    <w:div w:id="1147939406">
      <w:bodyDiv w:val="1"/>
      <w:marLeft w:val="0"/>
      <w:marRight w:val="0"/>
      <w:marTop w:val="0"/>
      <w:marBottom w:val="0"/>
      <w:divBdr>
        <w:top w:val="none" w:sz="0" w:space="0" w:color="auto"/>
        <w:left w:val="none" w:sz="0" w:space="0" w:color="auto"/>
        <w:bottom w:val="none" w:sz="0" w:space="0" w:color="auto"/>
        <w:right w:val="none" w:sz="0" w:space="0" w:color="auto"/>
      </w:divBdr>
      <w:divsChild>
        <w:div w:id="74085556">
          <w:marLeft w:val="418"/>
          <w:marRight w:val="0"/>
          <w:marTop w:val="160"/>
          <w:marBottom w:val="0"/>
          <w:divBdr>
            <w:top w:val="none" w:sz="0" w:space="0" w:color="auto"/>
            <w:left w:val="none" w:sz="0" w:space="0" w:color="auto"/>
            <w:bottom w:val="none" w:sz="0" w:space="0" w:color="auto"/>
            <w:right w:val="none" w:sz="0" w:space="0" w:color="auto"/>
          </w:divBdr>
        </w:div>
        <w:div w:id="226459304">
          <w:marLeft w:val="418"/>
          <w:marRight w:val="0"/>
          <w:marTop w:val="160"/>
          <w:marBottom w:val="0"/>
          <w:divBdr>
            <w:top w:val="none" w:sz="0" w:space="0" w:color="auto"/>
            <w:left w:val="none" w:sz="0" w:space="0" w:color="auto"/>
            <w:bottom w:val="none" w:sz="0" w:space="0" w:color="auto"/>
            <w:right w:val="none" w:sz="0" w:space="0" w:color="auto"/>
          </w:divBdr>
        </w:div>
        <w:div w:id="345332053">
          <w:marLeft w:val="850"/>
          <w:marRight w:val="0"/>
          <w:marTop w:val="160"/>
          <w:marBottom w:val="0"/>
          <w:divBdr>
            <w:top w:val="none" w:sz="0" w:space="0" w:color="auto"/>
            <w:left w:val="none" w:sz="0" w:space="0" w:color="auto"/>
            <w:bottom w:val="none" w:sz="0" w:space="0" w:color="auto"/>
            <w:right w:val="none" w:sz="0" w:space="0" w:color="auto"/>
          </w:divBdr>
        </w:div>
        <w:div w:id="412632407">
          <w:marLeft w:val="418"/>
          <w:marRight w:val="0"/>
          <w:marTop w:val="160"/>
          <w:marBottom w:val="0"/>
          <w:divBdr>
            <w:top w:val="none" w:sz="0" w:space="0" w:color="auto"/>
            <w:left w:val="none" w:sz="0" w:space="0" w:color="auto"/>
            <w:bottom w:val="none" w:sz="0" w:space="0" w:color="auto"/>
            <w:right w:val="none" w:sz="0" w:space="0" w:color="auto"/>
          </w:divBdr>
        </w:div>
        <w:div w:id="601499021">
          <w:marLeft w:val="850"/>
          <w:marRight w:val="0"/>
          <w:marTop w:val="160"/>
          <w:marBottom w:val="0"/>
          <w:divBdr>
            <w:top w:val="none" w:sz="0" w:space="0" w:color="auto"/>
            <w:left w:val="none" w:sz="0" w:space="0" w:color="auto"/>
            <w:bottom w:val="none" w:sz="0" w:space="0" w:color="auto"/>
            <w:right w:val="none" w:sz="0" w:space="0" w:color="auto"/>
          </w:divBdr>
        </w:div>
        <w:div w:id="854879093">
          <w:marLeft w:val="418"/>
          <w:marRight w:val="0"/>
          <w:marTop w:val="160"/>
          <w:marBottom w:val="0"/>
          <w:divBdr>
            <w:top w:val="none" w:sz="0" w:space="0" w:color="auto"/>
            <w:left w:val="none" w:sz="0" w:space="0" w:color="auto"/>
            <w:bottom w:val="none" w:sz="0" w:space="0" w:color="auto"/>
            <w:right w:val="none" w:sz="0" w:space="0" w:color="auto"/>
          </w:divBdr>
        </w:div>
        <w:div w:id="1667897161">
          <w:marLeft w:val="418"/>
          <w:marRight w:val="0"/>
          <w:marTop w:val="160"/>
          <w:marBottom w:val="0"/>
          <w:divBdr>
            <w:top w:val="none" w:sz="0" w:space="0" w:color="auto"/>
            <w:left w:val="none" w:sz="0" w:space="0" w:color="auto"/>
            <w:bottom w:val="none" w:sz="0" w:space="0" w:color="auto"/>
            <w:right w:val="none" w:sz="0" w:space="0" w:color="auto"/>
          </w:divBdr>
        </w:div>
        <w:div w:id="2033914634">
          <w:marLeft w:val="418"/>
          <w:marRight w:val="0"/>
          <w:marTop w:val="160"/>
          <w:marBottom w:val="0"/>
          <w:divBdr>
            <w:top w:val="none" w:sz="0" w:space="0" w:color="auto"/>
            <w:left w:val="none" w:sz="0" w:space="0" w:color="auto"/>
            <w:bottom w:val="none" w:sz="0" w:space="0" w:color="auto"/>
            <w:right w:val="none" w:sz="0" w:space="0" w:color="auto"/>
          </w:divBdr>
        </w:div>
      </w:divsChild>
    </w:div>
    <w:div w:id="1157723342">
      <w:bodyDiv w:val="1"/>
      <w:marLeft w:val="0"/>
      <w:marRight w:val="0"/>
      <w:marTop w:val="0"/>
      <w:marBottom w:val="0"/>
      <w:divBdr>
        <w:top w:val="none" w:sz="0" w:space="0" w:color="auto"/>
        <w:left w:val="none" w:sz="0" w:space="0" w:color="auto"/>
        <w:bottom w:val="none" w:sz="0" w:space="0" w:color="auto"/>
        <w:right w:val="none" w:sz="0" w:space="0" w:color="auto"/>
      </w:divBdr>
    </w:div>
    <w:div w:id="1227063139">
      <w:bodyDiv w:val="1"/>
      <w:marLeft w:val="0"/>
      <w:marRight w:val="0"/>
      <w:marTop w:val="0"/>
      <w:marBottom w:val="0"/>
      <w:divBdr>
        <w:top w:val="none" w:sz="0" w:space="0" w:color="auto"/>
        <w:left w:val="none" w:sz="0" w:space="0" w:color="auto"/>
        <w:bottom w:val="none" w:sz="0" w:space="0" w:color="auto"/>
        <w:right w:val="none" w:sz="0" w:space="0" w:color="auto"/>
      </w:divBdr>
      <w:divsChild>
        <w:div w:id="229393158">
          <w:marLeft w:val="576"/>
          <w:marRight w:val="0"/>
          <w:marTop w:val="160"/>
          <w:marBottom w:val="0"/>
          <w:divBdr>
            <w:top w:val="none" w:sz="0" w:space="0" w:color="auto"/>
            <w:left w:val="none" w:sz="0" w:space="0" w:color="auto"/>
            <w:bottom w:val="none" w:sz="0" w:space="0" w:color="auto"/>
            <w:right w:val="none" w:sz="0" w:space="0" w:color="auto"/>
          </w:divBdr>
        </w:div>
      </w:divsChild>
    </w:div>
    <w:div w:id="1661078877">
      <w:bodyDiv w:val="1"/>
      <w:marLeft w:val="0"/>
      <w:marRight w:val="0"/>
      <w:marTop w:val="0"/>
      <w:marBottom w:val="0"/>
      <w:divBdr>
        <w:top w:val="none" w:sz="0" w:space="0" w:color="auto"/>
        <w:left w:val="none" w:sz="0" w:space="0" w:color="auto"/>
        <w:bottom w:val="none" w:sz="0" w:space="0" w:color="auto"/>
        <w:right w:val="none" w:sz="0" w:space="0" w:color="auto"/>
      </w:divBdr>
      <w:divsChild>
        <w:div w:id="18822375">
          <w:marLeft w:val="850"/>
          <w:marRight w:val="0"/>
          <w:marTop w:val="160"/>
          <w:marBottom w:val="0"/>
          <w:divBdr>
            <w:top w:val="none" w:sz="0" w:space="0" w:color="auto"/>
            <w:left w:val="none" w:sz="0" w:space="0" w:color="auto"/>
            <w:bottom w:val="none" w:sz="0" w:space="0" w:color="auto"/>
            <w:right w:val="none" w:sz="0" w:space="0" w:color="auto"/>
          </w:divBdr>
        </w:div>
        <w:div w:id="202717754">
          <w:marLeft w:val="418"/>
          <w:marRight w:val="0"/>
          <w:marTop w:val="160"/>
          <w:marBottom w:val="0"/>
          <w:divBdr>
            <w:top w:val="none" w:sz="0" w:space="0" w:color="auto"/>
            <w:left w:val="none" w:sz="0" w:space="0" w:color="auto"/>
            <w:bottom w:val="none" w:sz="0" w:space="0" w:color="auto"/>
            <w:right w:val="none" w:sz="0" w:space="0" w:color="auto"/>
          </w:divBdr>
        </w:div>
        <w:div w:id="553540144">
          <w:marLeft w:val="850"/>
          <w:marRight w:val="0"/>
          <w:marTop w:val="160"/>
          <w:marBottom w:val="0"/>
          <w:divBdr>
            <w:top w:val="none" w:sz="0" w:space="0" w:color="auto"/>
            <w:left w:val="none" w:sz="0" w:space="0" w:color="auto"/>
            <w:bottom w:val="none" w:sz="0" w:space="0" w:color="auto"/>
            <w:right w:val="none" w:sz="0" w:space="0" w:color="auto"/>
          </w:divBdr>
        </w:div>
        <w:div w:id="780337532">
          <w:marLeft w:val="418"/>
          <w:marRight w:val="0"/>
          <w:marTop w:val="160"/>
          <w:marBottom w:val="0"/>
          <w:divBdr>
            <w:top w:val="none" w:sz="0" w:space="0" w:color="auto"/>
            <w:left w:val="none" w:sz="0" w:space="0" w:color="auto"/>
            <w:bottom w:val="none" w:sz="0" w:space="0" w:color="auto"/>
            <w:right w:val="none" w:sz="0" w:space="0" w:color="auto"/>
          </w:divBdr>
        </w:div>
        <w:div w:id="1701391656">
          <w:marLeft w:val="418"/>
          <w:marRight w:val="0"/>
          <w:marTop w:val="160"/>
          <w:marBottom w:val="0"/>
          <w:divBdr>
            <w:top w:val="none" w:sz="0" w:space="0" w:color="auto"/>
            <w:left w:val="none" w:sz="0" w:space="0" w:color="auto"/>
            <w:bottom w:val="none" w:sz="0" w:space="0" w:color="auto"/>
            <w:right w:val="none" w:sz="0" w:space="0" w:color="auto"/>
          </w:divBdr>
        </w:div>
        <w:div w:id="1785882928">
          <w:marLeft w:val="418"/>
          <w:marRight w:val="0"/>
          <w:marTop w:val="160"/>
          <w:marBottom w:val="0"/>
          <w:divBdr>
            <w:top w:val="none" w:sz="0" w:space="0" w:color="auto"/>
            <w:left w:val="none" w:sz="0" w:space="0" w:color="auto"/>
            <w:bottom w:val="none" w:sz="0" w:space="0" w:color="auto"/>
            <w:right w:val="none" w:sz="0" w:space="0" w:color="auto"/>
          </w:divBdr>
        </w:div>
        <w:div w:id="1797992418">
          <w:marLeft w:val="418"/>
          <w:marRight w:val="0"/>
          <w:marTop w:val="160"/>
          <w:marBottom w:val="0"/>
          <w:divBdr>
            <w:top w:val="none" w:sz="0" w:space="0" w:color="auto"/>
            <w:left w:val="none" w:sz="0" w:space="0" w:color="auto"/>
            <w:bottom w:val="none" w:sz="0" w:space="0" w:color="auto"/>
            <w:right w:val="none" w:sz="0" w:space="0" w:color="auto"/>
          </w:divBdr>
        </w:div>
      </w:divsChild>
    </w:div>
    <w:div w:id="2145729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TSG_SA/TSGs_101_Bangalore_2023-09/Docs/SP-231199.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8CEB1CCF-93B3-4F0D-8A57-3B29B5CE649A}">
    <t:Anchor>
      <t:Comment id="1805409122"/>
    </t:Anchor>
    <t:History>
      <t:Event id="{553B3889-6962-4CAC-89FA-237FF4F3A04C}" time="2023-09-03T13:05:28.299Z">
        <t:Attribution userId="S::talha.khan@ericsson.com::e56be2d0-0dab-419b-874a-9bdf612d6170" userProvider="AD" userName="Talha Khan"/>
        <t:Anchor>
          <t:Comment id="1805409122"/>
        </t:Anchor>
        <t:Create/>
      </t:Event>
      <t:Event id="{1B8FC33A-4A83-43B4-A25A-3D4E9362A244}" time="2023-09-03T13:05:28.299Z">
        <t:Attribution userId="S::talha.khan@ericsson.com::e56be2d0-0dab-419b-874a-9bdf612d6170" userProvider="AD" userName="Talha Khan"/>
        <t:Anchor>
          <t:Comment id="1805409122"/>
        </t:Anchor>
        <t:Assign userId="S::sebastian.euler@ericsson.com::996a1354-f765-4729-8c90-2ede06ecefd3" userProvider="AD" userName="Sebastian Euler"/>
      </t:Event>
      <t:Event id="{579CE470-646B-41EC-8C0C-ED4511827C57}" time="2023-09-03T13:05:28.299Z">
        <t:Attribution userId="S::talha.khan@ericsson.com::e56be2d0-0dab-419b-874a-9bdf612d6170" userProvider="AD" userName="Talha Khan"/>
        <t:Anchor>
          <t:Comment id="1805409122"/>
        </t:Anchor>
        <t:SetTitle title="@Sebastian Euler I think @Gerardo Agni Medina Acosta raised a point about half-duplex RedCap UEs in an email thread - not sure if we need to address it here..."/>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Gino Masini</DisplayName>
        <AccountId>83</AccountId>
        <AccountType/>
      </UserInfo>
      <UserInfo>
        <DisplayName>Sebastian Euler</DisplayName>
        <AccountId>391</AccountId>
        <AccountType/>
      </UserInfo>
      <UserInfo>
        <DisplayName>Min W Wang</DisplayName>
        <AccountId>409</AccountId>
        <AccountType/>
      </UserInfo>
      <UserInfo>
        <DisplayName>Hideshi Murai</DisplayName>
        <AccountId>124</AccountId>
        <AccountType/>
      </UserInfo>
      <UserInfo>
        <DisplayName>Olof Liberg</DisplayName>
        <AccountId>203</AccountId>
        <AccountType/>
      </UserInfo>
      <UserInfo>
        <DisplayName>Ignacio Pascual Pelayo</DisplayName>
        <AccountId>4921</AccountId>
        <AccountType/>
      </UserInfo>
      <UserInfo>
        <DisplayName>Smriti Gopinath A</DisplayName>
        <AccountId>699</AccountId>
        <AccountType/>
      </UserInfo>
      <UserInfo>
        <DisplayName>Ratheesh Kumar Mungara</DisplayName>
        <AccountId>470</AccountId>
        <AccountType/>
      </UserInfo>
      <UserInfo>
        <DisplayName>Emre Yavuz</DisplayName>
        <AccountId>267</AccountId>
        <AccountType/>
      </UserInfo>
      <UserInfo>
        <DisplayName>Talha Khan</DisplayName>
        <AccountId>426</AccountId>
        <AccountType/>
      </UserInfo>
      <UserInfo>
        <DisplayName>Thomas Chapman</DisplayName>
        <AccountId>142</AccountId>
        <AccountType/>
      </UserInfo>
      <UserInfo>
        <DisplayName>Christophe Kefeder</DisplayName>
        <AccountId>1385</AccountId>
        <AccountType/>
      </UserInfo>
      <UserInfo>
        <DisplayName>Per-Erik Eriksson S</DisplayName>
        <AccountId>404</AccountId>
        <AccountType/>
      </UserInfo>
      <UserInfo>
        <DisplayName>Paul Schliwa-Bertling</DisplayName>
        <AccountId>336</AccountId>
        <AccountType/>
      </UserInfo>
      <UserInfo>
        <DisplayName>Kazuyoshi Uesaka</DisplayName>
        <AccountId>477</AccountId>
        <AccountType/>
      </UserInfo>
      <UserInfo>
        <DisplayName>Aurelian Bria</DisplayName>
        <AccountId>172</AccountId>
        <AccountType/>
      </UserInfo>
      <UserInfo>
        <DisplayName>Anqi He</DisplayName>
        <AccountId>702</AccountId>
        <AccountType/>
      </UserInfo>
      <UserInfo>
        <DisplayName>Ioannis Xirouchakis</DisplayName>
        <AccountId>6564</AccountId>
        <AccountType/>
      </UserInfo>
      <UserInfo>
        <DisplayName>Rafael Puerta</DisplayName>
        <AccountId>592</AccountId>
        <AccountType/>
      </UserInfo>
      <UserInfo>
        <DisplayName>Eduardo Medeiros</DisplayName>
        <AccountId>526</AccountId>
        <AccountType/>
      </UserInfo>
      <UserInfo>
        <DisplayName>Stefan Rommer</DisplayName>
        <AccountId>1046</AccountId>
        <AccountType/>
      </UserInfo>
      <UserInfo>
        <DisplayName>Chao Zhang C</DisplayName>
        <AccountId>6991</AccountId>
        <AccountType/>
      </UserInfo>
      <UserInfo>
        <DisplayName>Dominique Everaere</DisplayName>
        <AccountId>259</AccountId>
        <AccountType/>
      </UserInfo>
      <UserInfo>
        <DisplayName>Johan Rune</DisplayName>
        <AccountId>55</AccountId>
        <AccountType/>
      </UserInfo>
      <UserInfo>
        <DisplayName>Chunhui Li</DisplayName>
        <AccountId>4804</AccountId>
        <AccountType/>
      </UserInfo>
      <UserInfo>
        <DisplayName>Cyril Michel</DisplayName>
        <AccountId>8078</AccountId>
        <AccountType/>
      </UserInfo>
      <UserInfo>
        <DisplayName>Robert Karlsson S</DisplayName>
        <AccountId>383</AccountId>
        <AccountType/>
      </UserInfo>
      <UserInfo>
        <DisplayName>Stephane Boichon</DisplayName>
        <AccountId>14002</AccountId>
        <AccountType/>
      </UserInfo>
      <UserInfo>
        <DisplayName>Fatemeh Ghasemifard</DisplayName>
        <AccountId>3192</AccountId>
        <AccountType/>
      </UserInfo>
      <UserInfo>
        <DisplayName>Lars Manholm</DisplayName>
        <AccountId>1504</AccountId>
        <AccountType/>
      </UserInfo>
      <UserInfo>
        <DisplayName>Gerardo Agni Medina Acosta</DisplayName>
        <AccountId>197</AccountId>
        <AccountType/>
      </UserInfo>
      <UserInfo>
        <DisplayName>Björn Hofström</DisplayName>
        <AccountId>236</AccountId>
        <AccountType/>
      </UserInfo>
      <UserInfo>
        <DisplayName>Anders Nordlöw</DisplayName>
        <AccountId>547</AccountId>
        <AccountType/>
      </UserInfo>
      <UserInfo>
        <DisplayName>Helka-Liina Maattanen</DisplayName>
        <AccountId>279</AccountId>
        <AccountType/>
      </UserInfo>
      <UserInfo>
        <DisplayName>Santhan Thangarasa</DisplayName>
        <AccountId>400</AccountId>
        <AccountType/>
      </UserInfo>
      <UserInfo>
        <DisplayName>Yuande Tan</DisplayName>
        <AccountId>2699</AccountId>
        <AccountType/>
      </UserInfo>
      <UserInfo>
        <DisplayName>Magnus Larsson K</DisplayName>
        <AccountId>1266</AccountId>
        <AccountType/>
      </UserInfo>
      <UserInfo>
        <DisplayName>István Gódor</DisplayName>
        <AccountId>3446</AccountId>
        <AccountType/>
      </UserInfo>
      <UserInfo>
        <DisplayName>László Hévizi</DisplayName>
        <AccountId>776</AccountId>
        <AccountType/>
      </UserInfo>
      <UserInfo>
        <DisplayName>Zhang Zhang</DisplayName>
        <AccountId>422</AccountId>
        <AccountType/>
      </UserInfo>
      <UserInfo>
        <DisplayName>Jiakai Shi</DisplayName>
        <AccountId>4911</AccountId>
        <AccountType/>
      </UserInfo>
      <UserInfo>
        <DisplayName>Alexander Vesely</DisplayName>
        <AccountId>223</AccountId>
        <AccountType/>
      </UserInfo>
      <UserInfo>
        <DisplayName>Stefan Eriksson G</DisplayName>
        <AccountId>362</AccountId>
        <AccountType/>
      </UserInfo>
      <UserInfo>
        <DisplayName>Ming Li L</DisplayName>
        <AccountId>1073</AccountId>
        <AccountType/>
      </UserInfo>
      <UserInfo>
        <DisplayName>Nicholas Pu</DisplayName>
        <AccountId>965</AccountId>
        <AccountType/>
      </UserInfo>
      <UserInfo>
        <DisplayName>Yichuan Lin</DisplayName>
        <AccountId>10392</AccountId>
        <AccountType/>
      </UserInfo>
      <UserInfo>
        <DisplayName>Chunhui Zhang</DisplayName>
        <AccountId>219</AccountId>
        <AccountType/>
      </UserInfo>
      <UserInfo>
        <DisplayName>Ulrika Engström</DisplayName>
        <AccountId>1084</AccountId>
        <AccountType/>
      </UserInfo>
      <UserInfo>
        <DisplayName>Elena Myhre</DisplayName>
        <AccountId>358</AccountId>
        <AccountType/>
      </UserInfo>
      <UserInfo>
        <DisplayName>Luca Feltrin</DisplayName>
        <AccountId>303</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 ds:uri="9b239327-9e80-40e4-b1b7-4394fed77a33"/>
  </ds:schemaRefs>
</ds:datastoreItem>
</file>

<file path=customXml/itemProps3.xml><?xml version="1.0" encoding="utf-8"?>
<ds:datastoreItem xmlns:ds="http://schemas.openxmlformats.org/officeDocument/2006/customXml" ds:itemID="{3FBDFAEE-4E12-42C3-BBE3-3BBA15F3A8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5033</Words>
  <Characters>28690</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33656</CharactersWithSpaces>
  <SharedDoc>false</SharedDoc>
  <HLinks>
    <vt:vector size="210" baseType="variant">
      <vt:variant>
        <vt:i4>6815759</vt:i4>
      </vt:variant>
      <vt:variant>
        <vt:i4>84</vt:i4>
      </vt:variant>
      <vt:variant>
        <vt:i4>0</vt:i4>
      </vt:variant>
      <vt:variant>
        <vt:i4>5</vt:i4>
      </vt:variant>
      <vt:variant>
        <vt:lpwstr>https://www.3gpp.org/ftp/tsg_ran/TSG_RAN/TSGR_100/Docs/RP-231484.zip</vt:lpwstr>
      </vt:variant>
      <vt:variant>
        <vt:lpwstr/>
      </vt:variant>
      <vt:variant>
        <vt:i4>4718719</vt:i4>
      </vt:variant>
      <vt:variant>
        <vt:i4>81</vt:i4>
      </vt:variant>
      <vt:variant>
        <vt:i4>0</vt:i4>
      </vt:variant>
      <vt:variant>
        <vt:i4>5</vt:i4>
      </vt:variant>
      <vt:variant>
        <vt:lpwstr>https://www.3gpp.org/ftp/tsg_sa/TSG_SA/TSGs_101_Bangalore_2023-09/Docs/SP-231199.zip</vt:lpwstr>
      </vt:variant>
      <vt:variant>
        <vt:lpwstr/>
      </vt:variant>
      <vt:variant>
        <vt:i4>1245234</vt:i4>
      </vt:variant>
      <vt:variant>
        <vt:i4>77</vt:i4>
      </vt:variant>
      <vt:variant>
        <vt:i4>0</vt:i4>
      </vt:variant>
      <vt:variant>
        <vt:i4>5</vt:i4>
      </vt:variant>
      <vt:variant>
        <vt:lpwstr/>
      </vt:variant>
      <vt:variant>
        <vt:lpwstr>_Toc152170608</vt:lpwstr>
      </vt:variant>
      <vt:variant>
        <vt:i4>1245234</vt:i4>
      </vt:variant>
      <vt:variant>
        <vt:i4>74</vt:i4>
      </vt:variant>
      <vt:variant>
        <vt:i4>0</vt:i4>
      </vt:variant>
      <vt:variant>
        <vt:i4>5</vt:i4>
      </vt:variant>
      <vt:variant>
        <vt:lpwstr/>
      </vt:variant>
      <vt:variant>
        <vt:lpwstr>_Toc152170607</vt:lpwstr>
      </vt:variant>
      <vt:variant>
        <vt:i4>1245234</vt:i4>
      </vt:variant>
      <vt:variant>
        <vt:i4>71</vt:i4>
      </vt:variant>
      <vt:variant>
        <vt:i4>0</vt:i4>
      </vt:variant>
      <vt:variant>
        <vt:i4>5</vt:i4>
      </vt:variant>
      <vt:variant>
        <vt:lpwstr/>
      </vt:variant>
      <vt:variant>
        <vt:lpwstr>_Toc152170606</vt:lpwstr>
      </vt:variant>
      <vt:variant>
        <vt:i4>1245234</vt:i4>
      </vt:variant>
      <vt:variant>
        <vt:i4>68</vt:i4>
      </vt:variant>
      <vt:variant>
        <vt:i4>0</vt:i4>
      </vt:variant>
      <vt:variant>
        <vt:i4>5</vt:i4>
      </vt:variant>
      <vt:variant>
        <vt:lpwstr/>
      </vt:variant>
      <vt:variant>
        <vt:lpwstr>_Toc152170605</vt:lpwstr>
      </vt:variant>
      <vt:variant>
        <vt:i4>1245234</vt:i4>
      </vt:variant>
      <vt:variant>
        <vt:i4>65</vt:i4>
      </vt:variant>
      <vt:variant>
        <vt:i4>0</vt:i4>
      </vt:variant>
      <vt:variant>
        <vt:i4>5</vt:i4>
      </vt:variant>
      <vt:variant>
        <vt:lpwstr/>
      </vt:variant>
      <vt:variant>
        <vt:lpwstr>_Toc152170604</vt:lpwstr>
      </vt:variant>
      <vt:variant>
        <vt:i4>1245234</vt:i4>
      </vt:variant>
      <vt:variant>
        <vt:i4>62</vt:i4>
      </vt:variant>
      <vt:variant>
        <vt:i4>0</vt:i4>
      </vt:variant>
      <vt:variant>
        <vt:i4>5</vt:i4>
      </vt:variant>
      <vt:variant>
        <vt:lpwstr/>
      </vt:variant>
      <vt:variant>
        <vt:lpwstr>_Toc152170603</vt:lpwstr>
      </vt:variant>
      <vt:variant>
        <vt:i4>1245234</vt:i4>
      </vt:variant>
      <vt:variant>
        <vt:i4>59</vt:i4>
      </vt:variant>
      <vt:variant>
        <vt:i4>0</vt:i4>
      </vt:variant>
      <vt:variant>
        <vt:i4>5</vt:i4>
      </vt:variant>
      <vt:variant>
        <vt:lpwstr/>
      </vt:variant>
      <vt:variant>
        <vt:lpwstr>_Toc152170602</vt:lpwstr>
      </vt:variant>
      <vt:variant>
        <vt:i4>1245234</vt:i4>
      </vt:variant>
      <vt:variant>
        <vt:i4>56</vt:i4>
      </vt:variant>
      <vt:variant>
        <vt:i4>0</vt:i4>
      </vt:variant>
      <vt:variant>
        <vt:i4>5</vt:i4>
      </vt:variant>
      <vt:variant>
        <vt:lpwstr/>
      </vt:variant>
      <vt:variant>
        <vt:lpwstr>_Toc152170601</vt:lpwstr>
      </vt:variant>
      <vt:variant>
        <vt:i4>1245234</vt:i4>
      </vt:variant>
      <vt:variant>
        <vt:i4>53</vt:i4>
      </vt:variant>
      <vt:variant>
        <vt:i4>0</vt:i4>
      </vt:variant>
      <vt:variant>
        <vt:i4>5</vt:i4>
      </vt:variant>
      <vt:variant>
        <vt:lpwstr/>
      </vt:variant>
      <vt:variant>
        <vt:lpwstr>_Toc152170600</vt:lpwstr>
      </vt:variant>
      <vt:variant>
        <vt:i4>1703985</vt:i4>
      </vt:variant>
      <vt:variant>
        <vt:i4>50</vt:i4>
      </vt:variant>
      <vt:variant>
        <vt:i4>0</vt:i4>
      </vt:variant>
      <vt:variant>
        <vt:i4>5</vt:i4>
      </vt:variant>
      <vt:variant>
        <vt:lpwstr/>
      </vt:variant>
      <vt:variant>
        <vt:lpwstr>_Toc152170599</vt:lpwstr>
      </vt:variant>
      <vt:variant>
        <vt:i4>1703985</vt:i4>
      </vt:variant>
      <vt:variant>
        <vt:i4>47</vt:i4>
      </vt:variant>
      <vt:variant>
        <vt:i4>0</vt:i4>
      </vt:variant>
      <vt:variant>
        <vt:i4>5</vt:i4>
      </vt:variant>
      <vt:variant>
        <vt:lpwstr/>
      </vt:variant>
      <vt:variant>
        <vt:lpwstr>_Toc152170598</vt:lpwstr>
      </vt:variant>
      <vt:variant>
        <vt:i4>1703985</vt:i4>
      </vt:variant>
      <vt:variant>
        <vt:i4>44</vt:i4>
      </vt:variant>
      <vt:variant>
        <vt:i4>0</vt:i4>
      </vt:variant>
      <vt:variant>
        <vt:i4>5</vt:i4>
      </vt:variant>
      <vt:variant>
        <vt:lpwstr/>
      </vt:variant>
      <vt:variant>
        <vt:lpwstr>_Toc152170597</vt:lpwstr>
      </vt:variant>
      <vt:variant>
        <vt:i4>1703985</vt:i4>
      </vt:variant>
      <vt:variant>
        <vt:i4>41</vt:i4>
      </vt:variant>
      <vt:variant>
        <vt:i4>0</vt:i4>
      </vt:variant>
      <vt:variant>
        <vt:i4>5</vt:i4>
      </vt:variant>
      <vt:variant>
        <vt:lpwstr/>
      </vt:variant>
      <vt:variant>
        <vt:lpwstr>_Toc152170596</vt:lpwstr>
      </vt:variant>
      <vt:variant>
        <vt:i4>1703985</vt:i4>
      </vt:variant>
      <vt:variant>
        <vt:i4>35</vt:i4>
      </vt:variant>
      <vt:variant>
        <vt:i4>0</vt:i4>
      </vt:variant>
      <vt:variant>
        <vt:i4>5</vt:i4>
      </vt:variant>
      <vt:variant>
        <vt:lpwstr/>
      </vt:variant>
      <vt:variant>
        <vt:lpwstr>_Toc152170595</vt:lpwstr>
      </vt:variant>
      <vt:variant>
        <vt:i4>1703985</vt:i4>
      </vt:variant>
      <vt:variant>
        <vt:i4>32</vt:i4>
      </vt:variant>
      <vt:variant>
        <vt:i4>0</vt:i4>
      </vt:variant>
      <vt:variant>
        <vt:i4>5</vt:i4>
      </vt:variant>
      <vt:variant>
        <vt:lpwstr/>
      </vt:variant>
      <vt:variant>
        <vt:lpwstr>_Toc152170594</vt:lpwstr>
      </vt:variant>
      <vt:variant>
        <vt:i4>1703985</vt:i4>
      </vt:variant>
      <vt:variant>
        <vt:i4>29</vt:i4>
      </vt:variant>
      <vt:variant>
        <vt:i4>0</vt:i4>
      </vt:variant>
      <vt:variant>
        <vt:i4>5</vt:i4>
      </vt:variant>
      <vt:variant>
        <vt:lpwstr/>
      </vt:variant>
      <vt:variant>
        <vt:lpwstr>_Toc152170593</vt:lpwstr>
      </vt:variant>
      <vt:variant>
        <vt:i4>1703985</vt:i4>
      </vt:variant>
      <vt:variant>
        <vt:i4>26</vt:i4>
      </vt:variant>
      <vt:variant>
        <vt:i4>0</vt:i4>
      </vt:variant>
      <vt:variant>
        <vt:i4>5</vt:i4>
      </vt:variant>
      <vt:variant>
        <vt:lpwstr/>
      </vt:variant>
      <vt:variant>
        <vt:lpwstr>_Toc152170592</vt:lpwstr>
      </vt:variant>
      <vt:variant>
        <vt:i4>1703985</vt:i4>
      </vt:variant>
      <vt:variant>
        <vt:i4>23</vt:i4>
      </vt:variant>
      <vt:variant>
        <vt:i4>0</vt:i4>
      </vt:variant>
      <vt:variant>
        <vt:i4>5</vt:i4>
      </vt:variant>
      <vt:variant>
        <vt:lpwstr/>
      </vt:variant>
      <vt:variant>
        <vt:lpwstr>_Toc152170591</vt:lpwstr>
      </vt:variant>
      <vt:variant>
        <vt:i4>1703985</vt:i4>
      </vt:variant>
      <vt:variant>
        <vt:i4>20</vt:i4>
      </vt:variant>
      <vt:variant>
        <vt:i4>0</vt:i4>
      </vt:variant>
      <vt:variant>
        <vt:i4>5</vt:i4>
      </vt:variant>
      <vt:variant>
        <vt:lpwstr/>
      </vt:variant>
      <vt:variant>
        <vt:lpwstr>_Toc152170590</vt:lpwstr>
      </vt:variant>
      <vt:variant>
        <vt:i4>1769521</vt:i4>
      </vt:variant>
      <vt:variant>
        <vt:i4>17</vt:i4>
      </vt:variant>
      <vt:variant>
        <vt:i4>0</vt:i4>
      </vt:variant>
      <vt:variant>
        <vt:i4>5</vt:i4>
      </vt:variant>
      <vt:variant>
        <vt:lpwstr/>
      </vt:variant>
      <vt:variant>
        <vt:lpwstr>_Toc152170589</vt:lpwstr>
      </vt:variant>
      <vt:variant>
        <vt:i4>1769521</vt:i4>
      </vt:variant>
      <vt:variant>
        <vt:i4>14</vt:i4>
      </vt:variant>
      <vt:variant>
        <vt:i4>0</vt:i4>
      </vt:variant>
      <vt:variant>
        <vt:i4>5</vt:i4>
      </vt:variant>
      <vt:variant>
        <vt:lpwstr/>
      </vt:variant>
      <vt:variant>
        <vt:lpwstr>_Toc152170588</vt:lpwstr>
      </vt:variant>
      <vt:variant>
        <vt:i4>1769521</vt:i4>
      </vt:variant>
      <vt:variant>
        <vt:i4>11</vt:i4>
      </vt:variant>
      <vt:variant>
        <vt:i4>0</vt:i4>
      </vt:variant>
      <vt:variant>
        <vt:i4>5</vt:i4>
      </vt:variant>
      <vt:variant>
        <vt:lpwstr/>
      </vt:variant>
      <vt:variant>
        <vt:lpwstr>_Toc152170587</vt:lpwstr>
      </vt:variant>
      <vt:variant>
        <vt:i4>1769521</vt:i4>
      </vt:variant>
      <vt:variant>
        <vt:i4>8</vt:i4>
      </vt:variant>
      <vt:variant>
        <vt:i4>0</vt:i4>
      </vt:variant>
      <vt:variant>
        <vt:i4>5</vt:i4>
      </vt:variant>
      <vt:variant>
        <vt:lpwstr/>
      </vt:variant>
      <vt:variant>
        <vt:lpwstr>_Toc152170586</vt:lpwstr>
      </vt:variant>
      <vt:variant>
        <vt:i4>4128835</vt:i4>
      </vt:variant>
      <vt:variant>
        <vt:i4>27</vt:i4>
      </vt:variant>
      <vt:variant>
        <vt:i4>0</vt:i4>
      </vt:variant>
      <vt:variant>
        <vt:i4>5</vt:i4>
      </vt:variant>
      <vt:variant>
        <vt:lpwstr>mailto:kazuyoshi.uesaka@ericsson.com</vt:lpwstr>
      </vt:variant>
      <vt:variant>
        <vt:lpwstr/>
      </vt:variant>
      <vt:variant>
        <vt:i4>2228239</vt:i4>
      </vt:variant>
      <vt:variant>
        <vt:i4>24</vt:i4>
      </vt:variant>
      <vt:variant>
        <vt:i4>0</vt:i4>
      </vt:variant>
      <vt:variant>
        <vt:i4>5</vt:i4>
      </vt:variant>
      <vt:variant>
        <vt:lpwstr>mailto:magnus.k.larsson@ericsson.com</vt:lpwstr>
      </vt:variant>
      <vt:variant>
        <vt:lpwstr/>
      </vt:variant>
      <vt:variant>
        <vt:i4>7667731</vt:i4>
      </vt:variant>
      <vt:variant>
        <vt:i4>21</vt:i4>
      </vt:variant>
      <vt:variant>
        <vt:i4>0</vt:i4>
      </vt:variant>
      <vt:variant>
        <vt:i4>5</vt:i4>
      </vt:variant>
      <vt:variant>
        <vt:lpwstr>mailto:gino.masini@ericsson.com</vt:lpwstr>
      </vt:variant>
      <vt:variant>
        <vt:lpwstr/>
      </vt:variant>
      <vt:variant>
        <vt:i4>5439546</vt:i4>
      </vt:variant>
      <vt:variant>
        <vt:i4>18</vt:i4>
      </vt:variant>
      <vt:variant>
        <vt:i4>0</vt:i4>
      </vt:variant>
      <vt:variant>
        <vt:i4>5</vt:i4>
      </vt:variant>
      <vt:variant>
        <vt:lpwstr>mailto:talha.khan@ericsson.com</vt:lpwstr>
      </vt:variant>
      <vt:variant>
        <vt:lpwstr/>
      </vt:variant>
      <vt:variant>
        <vt:i4>5505148</vt:i4>
      </vt:variant>
      <vt:variant>
        <vt:i4>15</vt:i4>
      </vt:variant>
      <vt:variant>
        <vt:i4>0</vt:i4>
      </vt:variant>
      <vt:variant>
        <vt:i4>5</vt:i4>
      </vt:variant>
      <vt:variant>
        <vt:lpwstr>mailto:ignacio.pascual.pelayo@ericsson.com</vt:lpwstr>
      </vt:variant>
      <vt:variant>
        <vt:lpwstr/>
      </vt:variant>
      <vt:variant>
        <vt:i4>2949194</vt:i4>
      </vt:variant>
      <vt:variant>
        <vt:i4>12</vt:i4>
      </vt:variant>
      <vt:variant>
        <vt:i4>0</vt:i4>
      </vt:variant>
      <vt:variant>
        <vt:i4>5</vt:i4>
      </vt:variant>
      <vt:variant>
        <vt:lpwstr>mailto:sebastian.euler@ericsson.com</vt:lpwstr>
      </vt:variant>
      <vt:variant>
        <vt:lpwstr/>
      </vt:variant>
      <vt:variant>
        <vt:i4>1966179</vt:i4>
      </vt:variant>
      <vt:variant>
        <vt:i4>9</vt:i4>
      </vt:variant>
      <vt:variant>
        <vt:i4>0</vt:i4>
      </vt:variant>
      <vt:variant>
        <vt:i4>5</vt:i4>
      </vt:variant>
      <vt:variant>
        <vt:lpwstr>mailto:gerardo.agni.medina.acosta@ericsson.com</vt:lpwstr>
      </vt:variant>
      <vt:variant>
        <vt:lpwstr/>
      </vt:variant>
      <vt:variant>
        <vt:i4>2949194</vt:i4>
      </vt:variant>
      <vt:variant>
        <vt:i4>6</vt:i4>
      </vt:variant>
      <vt:variant>
        <vt:i4>0</vt:i4>
      </vt:variant>
      <vt:variant>
        <vt:i4>5</vt:i4>
      </vt:variant>
      <vt:variant>
        <vt:lpwstr>mailto:sebastian.euler@ericsson.com</vt:lpwstr>
      </vt:variant>
      <vt:variant>
        <vt:lpwstr/>
      </vt:variant>
      <vt:variant>
        <vt:i4>852070</vt:i4>
      </vt:variant>
      <vt:variant>
        <vt:i4>3</vt:i4>
      </vt:variant>
      <vt:variant>
        <vt:i4>0</vt:i4>
      </vt:variant>
      <vt:variant>
        <vt:i4>5</vt:i4>
      </vt:variant>
      <vt:variant>
        <vt:lpwstr>mailto:emre.yavuz@ericsson.com</vt:lpwstr>
      </vt:variant>
      <vt:variant>
        <vt:lpwstr/>
      </vt:variant>
      <vt:variant>
        <vt:i4>4194414</vt:i4>
      </vt:variant>
      <vt:variant>
        <vt:i4>0</vt:i4>
      </vt:variant>
      <vt:variant>
        <vt:i4>0</vt:i4>
      </vt:variant>
      <vt:variant>
        <vt:i4>5</vt:i4>
      </vt:variant>
      <vt:variant>
        <vt:lpwstr>mailto:stefan.g.eriksson@ericsson.com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Mattias</cp:lastModifiedBy>
  <cp:revision>4</cp:revision>
  <cp:lastPrinted>2008-02-02T04:09:00Z</cp:lastPrinted>
  <dcterms:created xsi:type="dcterms:W3CDTF">2023-12-04T19:07:00Z</dcterms:created>
  <dcterms:modified xsi:type="dcterms:W3CDTF">2023-12-04T19:16:00Z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